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Analyse d’impact sur l’activité (BIA)</w:t>
      </w:r>
    </w:p>
    <w:p>
      <w:pPr>
        <w:pStyle w:val="Subtitle"/>
      </w:pPr>
      <w:r>
        <w:t>Modèle de référence — version marque blanche</w:t>
      </w:r>
    </w:p>
    <w:p>
      <w:pPr>
        <w:pStyle w:val="FirstParagraph"/>
      </w:pPr>
      <w:r>
        <w:rPr>
          <w:iCs/>
          <w:i/>
        </w:rPr>
        <w:t>Publié par Plan R (plan-r.org) sous licence Creative Commons BY-NC-SA 4.0. Version 1.0 — 2026. Ce modèle est un point de départ méthodologique : chaque organisation l’adapte à sa taille, à son secteur, à ses obligations et à ce qu’elle a déjà en place. Il ne dispense ni d’une analyse propre à l’organisation, ni d’une validation par ses instances.</w:t>
      </w:r>
    </w:p>
    <w:p>
      <w:r>
        <w:pict>
          <v:rect style="width:0;height:1.5pt" o:hralign="center" o:hrstd="t" o:hr="t"/>
        </w:pict>
      </w:r>
    </w:p>
    <w:bookmarkStart w:id="23" w:name="fiche-de-contrôle-du-document"/>
    <w:p>
      <w:pPr>
        <w:pStyle w:val="Heading2"/>
      </w:pPr>
      <w:r>
        <w:t>Fiche de contrôle du document</w:t>
      </w:r>
    </w:p>
    <w:bookmarkStart w:id="20" w:name="caractéristiques"/>
    <w:p>
      <w:pPr>
        <w:keepNext/>
        <w:pStyle w:val="Heading3"/>
      </w:pPr>
      <w:r>
        <w:t>Caractéristiques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888"/>
        <w:gridCol w:w="7523"/>
      </w:tblGrid>
      <w:tr>
        <w:trPr>
          <w:tblHeader w:val="true"/>
          <w:cantSplit w:val="true"/>
          <w:tblHeader w:val="true"/>
        </w:trPr>
        <w:tc>
          <w:tcPr>
            <w:tcW w:w="1888" w:type="dxa"/>
            <w:shd w:val="clear" w:color="auto" w:fill="1F3A5F"/>
          </w:tcPr>
          <w:p>
            <w:pPr>
              <w:pStyle w:val="Compact"/>
              <w:spacing w:before="20" w:after="20"/>
              <w:jc w:val="left"/>
            </w:pPr>
            <w:r>
              <w:rPr>
                <w:b/>
                <w:color w:val="FFFFFF"/>
                <w:sz w:val="18"/>
              </w:rPr>
              <w:t>Rubrique</w:t>
            </w:r>
          </w:p>
        </w:tc>
        <w:tc>
          <w:tcPr>
            <w:tcW w:w="7523" w:type="dxa"/>
            <w:shd w:val="clear" w:color="auto" w:fill="1F3A5F"/>
          </w:tcPr>
          <w:p>
            <w:pPr>
              <w:pStyle w:val="Compact"/>
              <w:spacing w:before="20" w:after="20"/>
              <w:jc w:val="left"/>
            </w:pPr>
            <w:r>
              <w:rPr>
                <w:b/>
                <w:color w:val="FFFFFF"/>
                <w:sz w:val="18"/>
              </w:rPr>
              <w:t>Valeur</w:t>
            </w:r>
          </w:p>
        </w:tc>
      </w:tr>
      <w:tr>
        <w:trPr>
          <w:cantSplit w:val="true"/>
        </w:trPr>
        <w:tc>
          <w:tcPr>
            <w:tcW w:w="1888" w:type="dxa"/>
          </w:tcPr>
          <w:p>
            <w:pPr>
              <w:pStyle w:val="Compact"/>
              <w:spacing w:before="20" w:after="20"/>
              <w:jc w:val="left"/>
            </w:pPr>
            <w:r>
              <w:rPr>
                <w:sz w:val="18"/>
              </w:rPr>
              <w:t>Identification</w:t>
            </w:r>
          </w:p>
        </w:tc>
        <w:tc>
          <w:tcPr>
            <w:tcW w:w="7523" w:type="dxa"/>
          </w:tcPr>
          <w:p>
            <w:pPr>
              <w:pStyle w:val="Compact"/>
              <w:spacing w:before="20" w:after="20"/>
              <w:jc w:val="left"/>
            </w:pPr>
            <w:r>
              <w:rPr>
                <w:rStyle w:val="VerbatimChar"/>
                <w:sz w:val="18"/>
                <w:b/>
                <w:color w:val="8A5A00"/>
              </w:rPr>
              <w:t>{{CODE_DOCUMENT}}</w:t>
            </w:r>
            <w:r>
              <w:rPr>
                <w:sz w:val="18"/>
              </w:rPr>
              <w:t xml:space="preserve"> </w:t>
            </w:r>
            <w:r>
              <w:rPr>
                <w:sz w:val="18"/>
              </w:rPr>
              <w:t>— Analyse d’impact sur l’activité</w:t>
            </w:r>
          </w:p>
        </w:tc>
      </w:tr>
      <w:tr>
        <w:trPr>
          <w:cantSplit w:val="true"/>
        </w:trPr>
        <w:tc>
          <w:tcPr>
            <w:tcW w:w="1888" w:type="dxa"/>
            <w:shd w:val="clear" w:color="auto" w:fill="EEF2F6"/>
          </w:tcPr>
          <w:p>
            <w:pPr>
              <w:pStyle w:val="Compact"/>
              <w:spacing w:before="20" w:after="20"/>
              <w:jc w:val="left"/>
            </w:pPr>
            <w:r>
              <w:rPr>
                <w:sz w:val="18"/>
              </w:rPr>
              <w:t>Objet</w:t>
            </w:r>
          </w:p>
        </w:tc>
        <w:tc>
          <w:tcPr>
            <w:tcW w:w="7523" w:type="dxa"/>
            <w:shd w:val="clear" w:color="auto" w:fill="EEF2F6"/>
          </w:tcPr>
          <w:p>
            <w:pPr>
              <w:pStyle w:val="Compact"/>
              <w:spacing w:before="20" w:after="20"/>
              <w:jc w:val="left"/>
            </w:pPr>
            <w:r>
              <w:rPr>
                <w:sz w:val="18"/>
              </w:rPr>
              <w:t>Priorités, seuils (DMIA, objectif de délai de reprise, PRD), niveaux minimaux, ressources et dépendances des activités de</w:t>
            </w:r>
            <w:r>
              <w:rPr>
                <w:sz w:val="18"/>
              </w:rPr>
              <w:t xml:space="preserve"> </w:t>
            </w:r>
            <w:r>
              <w:rPr>
                <w:rStyle w:val="VerbatimChar"/>
                <w:sz w:val="18"/>
                <w:b/>
                <w:color w:val="8A5A00"/>
              </w:rPr>
              <w:t>{{ORGANISATION}}</w:t>
            </w:r>
          </w:p>
        </w:tc>
      </w:tr>
      <w:tr>
        <w:trPr>
          <w:cantSplit w:val="true"/>
        </w:trPr>
        <w:tc>
          <w:tcPr>
            <w:tcW w:w="1888" w:type="dxa"/>
          </w:tcPr>
          <w:p>
            <w:pPr>
              <w:pStyle w:val="Compact"/>
              <w:spacing w:before="20" w:after="20"/>
              <w:jc w:val="left"/>
            </w:pPr>
            <w:r>
              <w:rPr>
                <w:sz w:val="18"/>
              </w:rPr>
              <w:t>Version</w:t>
            </w:r>
          </w:p>
        </w:tc>
        <w:tc>
          <w:tcPr>
            <w:tcW w:w="7523" w:type="dxa"/>
          </w:tcPr>
          <w:p>
            <w:pPr>
              <w:pStyle w:val="Compact"/>
              <w:spacing w:before="20" w:after="20"/>
              <w:jc w:val="left"/>
            </w:pPr>
            <w:r>
              <w:rPr>
                <w:rStyle w:val="VerbatimChar"/>
                <w:sz w:val="18"/>
                <w:b/>
                <w:color w:val="8A5A00"/>
              </w:rPr>
              <w:t>{{VERSION}}</w:t>
            </w:r>
          </w:p>
        </w:tc>
      </w:tr>
      <w:tr>
        <w:trPr>
          <w:cantSplit w:val="true"/>
        </w:trPr>
        <w:tc>
          <w:tcPr>
            <w:tcW w:w="1888" w:type="dxa"/>
            <w:shd w:val="clear" w:color="auto" w:fill="EEF2F6"/>
          </w:tcPr>
          <w:p>
            <w:pPr>
              <w:pStyle w:val="Compact"/>
              <w:spacing w:before="20" w:after="20"/>
              <w:jc w:val="left"/>
            </w:pPr>
            <w:r>
              <w:rPr>
                <w:sz w:val="18"/>
              </w:rPr>
              <w:t>Classification</w:t>
            </w:r>
          </w:p>
        </w:tc>
        <w:tc>
          <w:tcPr>
            <w:tcW w:w="7523" w:type="dxa"/>
            <w:shd w:val="clear" w:color="auto" w:fill="EEF2F6"/>
          </w:tcPr>
          <w:p>
            <w:pPr>
              <w:pStyle w:val="Compact"/>
              <w:spacing w:before="20" w:after="20"/>
              <w:jc w:val="left"/>
            </w:pPr>
            <w:r>
              <w:rPr>
                <w:rStyle w:val="VerbatimChar"/>
                <w:sz w:val="18"/>
                <w:b/>
                <w:color w:val="8A5A00"/>
              </w:rPr>
              <w:t>{{NIVEAU_DE_DIFFUSION}}</w:t>
            </w:r>
            <w:r>
              <w:rPr>
                <w:sz w:val="18"/>
              </w:rPr>
              <w:t xml:space="preserve"> </w:t>
            </w:r>
            <w:r>
              <w:rPr>
                <w:sz w:val="18"/>
              </w:rPr>
              <w:t>(ex. Interne — Diffusion restreinte) — voir §8.2</w:t>
            </w:r>
          </w:p>
        </w:tc>
      </w:tr>
      <w:tr>
        <w:trPr>
          <w:cantSplit w:val="true"/>
        </w:trPr>
        <w:tc>
          <w:tcPr>
            <w:tcW w:w="1888" w:type="dxa"/>
          </w:tcPr>
          <w:p>
            <w:pPr>
              <w:pStyle w:val="Compact"/>
              <w:spacing w:before="20" w:after="20"/>
              <w:jc w:val="left"/>
            </w:pPr>
            <w:r>
              <w:rPr>
                <w:sz w:val="18"/>
              </w:rPr>
              <w:t>État</w:t>
            </w:r>
          </w:p>
        </w:tc>
        <w:tc>
          <w:tcPr>
            <w:tcW w:w="7523" w:type="dxa"/>
          </w:tcPr>
          <w:p>
            <w:pPr>
              <w:pStyle w:val="Compact"/>
              <w:spacing w:before="20" w:after="20"/>
              <w:jc w:val="left"/>
            </w:pPr>
            <w:r>
              <w:rPr>
                <w:sz w:val="18"/>
              </w:rPr>
              <w:t>☐ Travail ☐ En attente de validation ☐ Validé</w:t>
            </w:r>
          </w:p>
        </w:tc>
      </w:tr>
      <w:tr>
        <w:trPr>
          <w:cantSplit w:val="true"/>
        </w:trPr>
        <w:tc>
          <w:tcPr>
            <w:tcW w:w="1888" w:type="dxa"/>
            <w:shd w:val="clear" w:color="auto" w:fill="EEF2F6"/>
          </w:tcPr>
          <w:p>
            <w:pPr>
              <w:pStyle w:val="Compact"/>
              <w:spacing w:before="20" w:after="20"/>
              <w:jc w:val="left"/>
            </w:pPr>
            <w:r>
              <w:rPr>
                <w:sz w:val="18"/>
              </w:rPr>
              <w:t>Périmètre</w:t>
            </w:r>
          </w:p>
        </w:tc>
        <w:tc>
          <w:tcPr>
            <w:tcW w:w="7523" w:type="dxa"/>
            <w:shd w:val="clear" w:color="auto" w:fill="EEF2F6"/>
          </w:tcPr>
          <w:p>
            <w:pPr>
              <w:pStyle w:val="Compact"/>
              <w:spacing w:before="20" w:after="20"/>
              <w:jc w:val="left"/>
            </w:pPr>
            <w:r>
              <w:rPr>
                <w:rStyle w:val="VerbatimChar"/>
                <w:sz w:val="18"/>
                <w:b/>
                <w:color w:val="8A5A00"/>
              </w:rPr>
              <w:t>{{PERIMETRE}}</w:t>
            </w:r>
            <w:r>
              <w:rPr>
                <w:sz w:val="18"/>
              </w:rPr>
              <w:t xml:space="preserve"> </w:t>
            </w:r>
            <w:r>
              <w:rPr>
                <w:sz w:val="18"/>
              </w:rPr>
              <w:t>(entités, sites, services couverts) — voir §2</w:t>
            </w:r>
          </w:p>
        </w:tc>
      </w:tr>
      <w:tr>
        <w:trPr>
          <w:cantSplit w:val="true"/>
        </w:trPr>
        <w:tc>
          <w:tcPr>
            <w:tcW w:w="1888" w:type="dxa"/>
          </w:tcPr>
          <w:p>
            <w:pPr>
              <w:pStyle w:val="Compact"/>
              <w:spacing w:before="20" w:after="20"/>
              <w:jc w:val="left"/>
            </w:pPr>
            <w:r>
              <w:rPr>
                <w:sz w:val="18"/>
              </w:rPr>
              <w:t>Format retenu</w:t>
            </w:r>
          </w:p>
        </w:tc>
        <w:tc>
          <w:tcPr>
            <w:tcW w:w="7523" w:type="dxa"/>
          </w:tcPr>
          <w:p>
            <w:pPr>
              <w:pStyle w:val="Compact"/>
              <w:spacing w:before="20" w:after="20"/>
              <w:jc w:val="left"/>
            </w:pPr>
            <w:r>
              <w:rPr>
                <w:sz w:val="18"/>
              </w:rPr>
              <w:t>☐ Express ☐ Standard ☐ Approfondi — voir §2.3</w:t>
            </w:r>
          </w:p>
        </w:tc>
      </w:tr>
      <w:tr>
        <w:trPr>
          <w:cantSplit w:val="true"/>
        </w:trPr>
        <w:tc>
          <w:tcPr>
            <w:tcW w:w="1888" w:type="dxa"/>
            <w:shd w:val="clear" w:color="auto" w:fill="EEF2F6"/>
          </w:tcPr>
          <w:p>
            <w:pPr>
              <w:pStyle w:val="Compact"/>
              <w:spacing w:before="20" w:after="20"/>
              <w:jc w:val="left"/>
            </w:pPr>
            <w:r>
              <w:rPr>
                <w:sz w:val="18"/>
              </w:rPr>
              <w:t>Documents liés</w:t>
            </w:r>
          </w:p>
        </w:tc>
        <w:tc>
          <w:tcPr>
            <w:tcW w:w="7523" w:type="dxa"/>
            <w:shd w:val="clear" w:color="auto" w:fill="EEF2F6"/>
          </w:tcPr>
          <w:p>
            <w:pPr>
              <w:pStyle w:val="Compact"/>
              <w:spacing w:before="20" w:after="20"/>
              <w:jc w:val="left"/>
            </w:pPr>
            <w:r>
              <w:rPr>
                <w:sz w:val="18"/>
              </w:rPr>
              <w:t>Analyse de risques · Stratégie de continuité · Stratégie de sauvegarde · Plan de continuité d’activité (PCA) · Plan de continuité informatique (PCI) · Plan de gestion de crise · Registre des tiers</w:t>
            </w:r>
          </w:p>
        </w:tc>
      </w:tr>
      <w:tr>
        <w:trPr>
          <w:cantSplit w:val="true"/>
        </w:trPr>
        <w:tc>
          <w:tcPr>
            <w:tcW w:w="1888" w:type="dxa"/>
          </w:tcPr>
          <w:p>
            <w:pPr>
              <w:pStyle w:val="Compact"/>
              <w:spacing w:before="20" w:after="20"/>
              <w:jc w:val="left"/>
            </w:pPr>
            <w:r>
              <w:rPr>
                <w:sz w:val="18"/>
              </w:rPr>
              <w:t>Classeur associé</w:t>
            </w:r>
          </w:p>
        </w:tc>
        <w:tc>
          <w:tcPr>
            <w:tcW w:w="7523" w:type="dxa"/>
          </w:tcPr>
          <w:p>
            <w:pPr>
              <w:pStyle w:val="Compact"/>
              <w:spacing w:before="20" w:after="20"/>
              <w:jc w:val="left"/>
            </w:pPr>
            <w:r>
              <w:rPr>
                <w:rStyle w:val="VerbatimChar"/>
                <w:sz w:val="18"/>
                <w:b/>
                <w:color w:val="8A5A00"/>
              </w:rPr>
              <w:t>bia-classeur-v1.0.xlsx</w:t>
            </w:r>
            <w:r>
              <w:rPr>
                <w:sz w:val="18"/>
              </w:rPr>
              <w:t xml:space="preserve"> </w:t>
            </w:r>
            <w:r>
              <w:rPr>
                <w:sz w:val="18"/>
              </w:rPr>
              <w:t>(registres et contrôles de cohérence)</w:t>
            </w:r>
          </w:p>
        </w:tc>
      </w:tr>
    </w:tbl>
    <w:bookmarkEnd w:id="20"/>
    <w:bookmarkStart w:id="21" w:name="historique-des-versions"/>
    <w:p>
      <w:pPr>
        <w:keepNext/>
        <w:pStyle w:val="Heading3"/>
      </w:pPr>
      <w:r>
        <w:t>Historique des versions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104"/>
        <w:gridCol w:w="3043"/>
        <w:gridCol w:w="2112"/>
        <w:gridCol w:w="3152"/>
      </w:tblGrid>
      <w:tr>
        <w:trPr>
          <w:tblHeader w:val="true"/>
          <w:cantSplit w:val="true"/>
          <w:tblHeader w:val="true"/>
        </w:trPr>
        <w:tc>
          <w:tcPr>
            <w:tcW w:w="1104" w:type="dxa"/>
            <w:shd w:val="clear" w:color="auto" w:fill="1F3A5F"/>
          </w:tcPr>
          <w:p>
            <w:pPr>
              <w:pStyle w:val="Compact"/>
              <w:spacing w:before="20" w:after="20"/>
              <w:jc w:val="left"/>
            </w:pPr>
            <w:r>
              <w:rPr>
                <w:b/>
                <w:color w:val="FFFFFF"/>
                <w:sz w:val="18"/>
              </w:rPr>
              <w:t>Version</w:t>
            </w:r>
          </w:p>
        </w:tc>
        <w:tc>
          <w:tcPr>
            <w:tcW w:w="3043" w:type="dxa"/>
            <w:shd w:val="clear" w:color="auto" w:fill="1F3A5F"/>
          </w:tcPr>
          <w:p>
            <w:pPr>
              <w:pStyle w:val="Compact"/>
              <w:spacing w:before="20" w:after="20"/>
              <w:jc w:val="left"/>
            </w:pPr>
            <w:r>
              <w:rPr>
                <w:b/>
                <w:color w:val="FFFFFF"/>
                <w:sz w:val="18"/>
              </w:rPr>
              <w:t>Date</w:t>
            </w:r>
          </w:p>
        </w:tc>
        <w:tc>
          <w:tcPr>
            <w:tcW w:w="2112" w:type="dxa"/>
            <w:shd w:val="clear" w:color="auto" w:fill="1F3A5F"/>
          </w:tcPr>
          <w:p>
            <w:pPr>
              <w:pStyle w:val="Compact"/>
              <w:spacing w:before="20" w:after="20"/>
              <w:jc w:val="left"/>
            </w:pPr>
            <w:r>
              <w:rPr>
                <w:b/>
                <w:color w:val="FFFFFF"/>
                <w:sz w:val="18"/>
              </w:rPr>
              <w:t>Rédacteur</w:t>
            </w:r>
          </w:p>
        </w:tc>
        <w:tc>
          <w:tcPr>
            <w:tcW w:w="3152" w:type="dxa"/>
            <w:shd w:val="clear" w:color="auto" w:fill="1F3A5F"/>
          </w:tcPr>
          <w:p>
            <w:pPr>
              <w:pStyle w:val="Compact"/>
              <w:spacing w:before="20" w:after="20"/>
              <w:jc w:val="left"/>
            </w:pPr>
            <w:r>
              <w:rPr>
                <w:b/>
                <w:color w:val="FFFFFF"/>
                <w:sz w:val="18"/>
              </w:rPr>
              <w:t>Modification</w:t>
            </w:r>
          </w:p>
        </w:tc>
      </w:tr>
      <w:tr>
        <w:trPr>
          <w:cantSplit w:val="true"/>
        </w:trPr>
        <w:tc>
          <w:tcPr>
            <w:tcW w:w="1104" w:type="dxa"/>
          </w:tcPr>
          <w:p>
            <w:pPr>
              <w:pStyle w:val="Compact"/>
              <w:spacing w:before="20" w:after="20"/>
              <w:jc w:val="left"/>
            </w:pPr>
            <w:r>
              <w:rPr>
                <w:rStyle w:val="VerbatimChar"/>
                <w:sz w:val="18"/>
                <w:b/>
                <w:color w:val="8A5A00"/>
              </w:rPr>
              <w:t>{{0.1}}</w:t>
            </w:r>
          </w:p>
        </w:tc>
        <w:tc>
          <w:tcPr>
            <w:tcW w:w="3043" w:type="dxa"/>
          </w:tcPr>
          <w:p>
            <w:pPr>
              <w:pStyle w:val="Compact"/>
              <w:spacing w:before="20" w:after="20"/>
              <w:jc w:val="left"/>
            </w:pPr>
            <w:r>
              <w:rPr>
                <w:rStyle w:val="VerbatimChar"/>
                <w:sz w:val="18"/>
                <w:b/>
                <w:color w:val="8A5A00"/>
              </w:rPr>
              <w:t>{{JJ/MM/AAAA}}</w:t>
            </w:r>
          </w:p>
        </w:tc>
        <w:tc>
          <w:tcPr>
            <w:tcW w:w="2112" w:type="dxa"/>
          </w:tcPr>
          <w:p>
            <w:pPr>
              <w:pStyle w:val="Compact"/>
              <w:spacing w:before="20" w:after="20"/>
              <w:jc w:val="left"/>
            </w:pPr>
            <w:r>
              <w:rPr>
                <w:rStyle w:val="VerbatimChar"/>
                <w:sz w:val="18"/>
                <w:b/>
                <w:color w:val="8A5A00"/>
              </w:rPr>
              <w:t>{{FONCTION_REDACTEUR}}</w:t>
            </w:r>
          </w:p>
        </w:tc>
        <w:tc>
          <w:tcPr>
            <w:tcW w:w="3152" w:type="dxa"/>
          </w:tcPr>
          <w:p>
            <w:pPr>
              <w:pStyle w:val="Compact"/>
              <w:spacing w:before="20" w:after="20"/>
              <w:jc w:val="left"/>
            </w:pPr>
            <w:r>
              <w:rPr>
                <w:sz w:val="18"/>
              </w:rPr>
              <w:t>Création du document</w:t>
            </w:r>
          </w:p>
        </w:tc>
      </w:tr>
      <w:tr>
        <w:trPr>
          <w:cantSplit w:val="true"/>
        </w:trPr>
        <w:tc>
          <w:tcPr>
            <w:tcW w:w="1104" w:type="dxa"/>
            <w:shd w:val="clear" w:color="auto" w:fill="EEF2F6"/>
          </w:tcPr>
          <w:p>
            <w:pPr>
              <w:pStyle w:val="Compact"/>
              <w:spacing w:before="20" w:after="20"/>
            </w:pPr>
          </w:p>
        </w:tc>
        <w:tc>
          <w:tcPr>
            <w:tcW w:w="3043" w:type="dxa"/>
            <w:shd w:val="clear" w:color="auto" w:fill="EEF2F6"/>
          </w:tcPr>
          <w:p>
            <w:pPr>
              <w:pStyle w:val="Compact"/>
              <w:spacing w:before="20" w:after="20"/>
            </w:pPr>
          </w:p>
        </w:tc>
        <w:tc>
          <w:tcPr>
            <w:tcW w:w="2112" w:type="dxa"/>
            <w:shd w:val="clear" w:color="auto" w:fill="EEF2F6"/>
          </w:tcPr>
          <w:p>
            <w:pPr>
              <w:pStyle w:val="Compact"/>
              <w:spacing w:before="20" w:after="20"/>
            </w:pPr>
          </w:p>
        </w:tc>
        <w:tc>
          <w:tcPr>
            <w:tcW w:w="3152" w:type="dxa"/>
            <w:shd w:val="clear" w:color="auto" w:fill="EEF2F6"/>
          </w:tcPr>
          <w:p>
            <w:pPr>
              <w:pStyle w:val="Compact"/>
              <w:spacing w:before="20" w:after="20"/>
            </w:pPr>
          </w:p>
        </w:tc>
      </w:tr>
    </w:tbl>
    <w:bookmarkEnd w:id="21"/>
    <w:bookmarkStart w:id="22" w:name="validation"/>
    <w:p>
      <w:pPr>
        <w:keepNext/>
        <w:pStyle w:val="Heading3"/>
      </w:pPr>
      <w:r>
        <w:t>Validation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464"/>
        <w:gridCol w:w="3725"/>
        <w:gridCol w:w="4222"/>
      </w:tblGrid>
      <w:tr>
        <w:trPr>
          <w:tblHeader w:val="true"/>
          <w:cantSplit w:val="true"/>
          <w:tblHeader w:val="true"/>
        </w:trPr>
        <w:tc>
          <w:tcPr>
            <w:tcW w:w="1464" w:type="dxa"/>
            <w:shd w:val="clear" w:color="auto" w:fill="1F3A5F"/>
          </w:tcPr>
          <w:p>
            <w:pPr>
              <w:pStyle w:val="Compact"/>
              <w:spacing w:before="20" w:after="20"/>
            </w:pPr>
          </w:p>
        </w:tc>
        <w:tc>
          <w:tcPr>
            <w:tcW w:w="3725" w:type="dxa"/>
            <w:shd w:val="clear" w:color="auto" w:fill="1F3A5F"/>
          </w:tcPr>
          <w:p>
            <w:pPr>
              <w:pStyle w:val="Compact"/>
              <w:spacing w:before="20" w:after="20"/>
              <w:jc w:val="left"/>
            </w:pPr>
            <w:r>
              <w:rPr>
                <w:rStyle w:val="VerbatimChar"/>
                <w:b/>
                <w:color w:val="FFFFFF"/>
                <w:sz w:val="18"/>
              </w:rPr>
              <w:t>{{FONCTION_COMMANDITAIRE}}</w:t>
            </w:r>
            <w:r>
              <w:rPr>
                <w:b/>
                <w:color w:val="FFFFFF"/>
                <w:sz w:val="18"/>
              </w:rPr>
              <w:t xml:space="preserve"> </w:t>
            </w:r>
            <w:r>
              <w:rPr>
                <w:b/>
                <w:color w:val="FFFFFF"/>
                <w:sz w:val="18"/>
              </w:rPr>
              <w:t>(commanditaire)</w:t>
            </w:r>
          </w:p>
        </w:tc>
        <w:tc>
          <w:tcPr>
            <w:tcW w:w="4222" w:type="dxa"/>
            <w:shd w:val="clear" w:color="auto" w:fill="1F3A5F"/>
          </w:tcPr>
          <w:p>
            <w:pPr>
              <w:pStyle w:val="Compact"/>
              <w:spacing w:before="20" w:after="20"/>
              <w:jc w:val="left"/>
            </w:pPr>
            <w:r>
              <w:rPr>
                <w:rStyle w:val="VerbatimChar"/>
                <w:b/>
                <w:color w:val="FFFFFF"/>
                <w:sz w:val="18"/>
              </w:rPr>
              <w:t>{{FONCTION_DIRECTION}}</w:t>
            </w:r>
            <w:r>
              <w:rPr>
                <w:b/>
                <w:color w:val="FFFFFF"/>
                <w:sz w:val="18"/>
              </w:rPr>
              <w:t xml:space="preserve"> </w:t>
            </w:r>
            <w:r>
              <w:rPr>
                <w:b/>
                <w:color w:val="FFFFFF"/>
                <w:sz w:val="18"/>
              </w:rPr>
              <w:t>(ex. Direction générale)</w:t>
            </w:r>
          </w:p>
        </w:tc>
      </w:tr>
      <w:tr>
        <w:trPr>
          <w:cantSplit w:val="true"/>
        </w:trPr>
        <w:tc>
          <w:tcPr>
            <w:tcW w:w="1464" w:type="dxa"/>
          </w:tcPr>
          <w:p>
            <w:pPr>
              <w:pStyle w:val="Compact"/>
              <w:spacing w:before="20" w:after="20"/>
              <w:jc w:val="left"/>
            </w:pPr>
            <w:r>
              <w:rPr>
                <w:sz w:val="18"/>
              </w:rPr>
              <w:t>Nom</w:t>
            </w:r>
          </w:p>
        </w:tc>
        <w:tc>
          <w:tcPr>
            <w:tcW w:w="3725" w:type="dxa"/>
          </w:tcPr>
          <w:p>
            <w:pPr>
              <w:pStyle w:val="Compact"/>
              <w:spacing w:before="20" w:after="20"/>
            </w:pPr>
          </w:p>
        </w:tc>
        <w:tc>
          <w:tcPr>
            <w:tcW w:w="4222" w:type="dxa"/>
          </w:tcPr>
          <w:p>
            <w:pPr>
              <w:pStyle w:val="Compact"/>
              <w:spacing w:before="20" w:after="20"/>
            </w:pPr>
          </w:p>
        </w:tc>
      </w:tr>
      <w:tr>
        <w:trPr>
          <w:cantSplit w:val="true"/>
        </w:trPr>
        <w:tc>
          <w:tcPr>
            <w:tcW w:w="1464" w:type="dxa"/>
            <w:shd w:val="clear" w:color="auto" w:fill="EEF2F6"/>
          </w:tcPr>
          <w:p>
            <w:pPr>
              <w:pStyle w:val="Compact"/>
              <w:spacing w:before="20" w:after="20"/>
              <w:jc w:val="left"/>
            </w:pPr>
            <w:r>
              <w:rPr>
                <w:sz w:val="18"/>
              </w:rPr>
              <w:t>Date et signature</w:t>
            </w:r>
          </w:p>
        </w:tc>
        <w:tc>
          <w:tcPr>
            <w:tcW w:w="3725" w:type="dxa"/>
            <w:shd w:val="clear" w:color="auto" w:fill="EEF2F6"/>
          </w:tcPr>
          <w:p>
            <w:pPr>
              <w:pStyle w:val="Compact"/>
              <w:spacing w:before="20" w:after="20"/>
            </w:pPr>
          </w:p>
        </w:tc>
        <w:tc>
          <w:tcPr>
            <w:tcW w:w="4222" w:type="dxa"/>
            <w:shd w:val="clear" w:color="auto" w:fill="EEF2F6"/>
          </w:tcPr>
          <w:p>
            <w:pPr>
              <w:pStyle w:val="Compact"/>
              <w:spacing w:before="20" w:after="20"/>
            </w:pPr>
          </w:p>
        </w:tc>
      </w:tr>
    </w:tbl>
    <w:p>
      <w:r>
        <w:pict>
          <v:rect style="width:0;height:1.5pt" o:hralign="center" o:hrstd="t" o:hr="t"/>
        </w:pict>
      </w:r>
    </w:p>
    <w:bookmarkEnd w:id="22"/>
    <w:bookmarkEnd w:id="23"/>
    <w:bookmarkStart w:id="24" w:name="mode-demploi-du-modèle"/>
    <w:p>
      <w:pPr>
        <w:pStyle w:val="Heading2"/>
      </w:pPr>
      <w:r>
        <w:t>Mode d’emploi du modèle</w:t>
      </w:r>
    </w:p>
    <w:p>
      <w:pPr>
        <w:pStyle w:val="FirstParagraph"/>
      </w:pPr>
      <w:r>
        <w:t>Ce document est un modèle générique. Il propose une démarche en sept étapes, des grilles et des règles de cohérence.</w:t>
      </w:r>
      <w:r>
        <w:t xml:space="preserve"> </w:t>
      </w:r>
      <w:r>
        <w:rPr>
          <w:bCs/>
          <w:b/>
        </w:rPr>
        <w:t>Toutes les valeurs qu’il contient (critères, seuils, horizons, classes, ratios) sont des propositions</w:t>
      </w:r>
      <w:r>
        <w:t xml:space="preserve"> </w:t>
      </w:r>
      <w:r>
        <w:t>: elles sont à remplacer par celles de l’organisation, en reprenant de préférence ses échelles existantes (gestion des risques, EBIOS Risk Manager, classification des incidents).</w:t>
      </w:r>
    </w:p>
    <w:p>
      <w:pPr>
        <w:keepNext/>
        <w:pStyle w:val="BodyText"/>
      </w:pPr>
      <w:r>
        <w:rPr>
          <w:bCs/>
          <w:b/>
        </w:rPr>
        <w:t>Conventions de personnalisation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333"/>
        <w:gridCol w:w="3838"/>
        <w:gridCol w:w="3240"/>
      </w:tblGrid>
      <w:tr>
        <w:trPr>
          <w:tblHeader w:val="true"/>
          <w:cantSplit w:val="true"/>
          <w:tblHeader w:val="true"/>
        </w:trPr>
        <w:tc>
          <w:tcPr>
            <w:tcW w:w="2333" w:type="dxa"/>
            <w:shd w:val="clear" w:color="auto" w:fill="1F3A5F"/>
          </w:tcPr>
          <w:p>
            <w:pPr>
              <w:pStyle w:val="Compact"/>
              <w:spacing w:before="20" w:after="20"/>
              <w:jc w:val="left"/>
            </w:pPr>
            <w:r>
              <w:rPr>
                <w:b/>
                <w:color w:val="FFFFFF"/>
                <w:sz w:val="18"/>
              </w:rPr>
              <w:t>Marqueur</w:t>
            </w:r>
          </w:p>
        </w:tc>
        <w:tc>
          <w:tcPr>
            <w:tcW w:w="3838" w:type="dxa"/>
            <w:shd w:val="clear" w:color="auto" w:fill="1F3A5F"/>
          </w:tcPr>
          <w:p>
            <w:pPr>
              <w:pStyle w:val="Compact"/>
              <w:spacing w:before="20" w:after="20"/>
              <w:jc w:val="left"/>
            </w:pPr>
            <w:r>
              <w:rPr>
                <w:b/>
                <w:color w:val="FFFFFF"/>
                <w:sz w:val="18"/>
              </w:rPr>
              <w:t>Signification</w:t>
            </w:r>
          </w:p>
        </w:tc>
        <w:tc>
          <w:tcPr>
            <w:tcW w:w="3240" w:type="dxa"/>
            <w:shd w:val="clear" w:color="auto" w:fill="1F3A5F"/>
          </w:tcPr>
          <w:p>
            <w:pPr>
              <w:pStyle w:val="Compact"/>
              <w:spacing w:before="20" w:after="20"/>
              <w:jc w:val="left"/>
            </w:pPr>
            <w:r>
              <w:rPr>
                <w:b/>
                <w:color w:val="FFFFFF"/>
                <w:sz w:val="18"/>
              </w:rPr>
              <w:t>Action attendue</w:t>
            </w:r>
          </w:p>
        </w:tc>
      </w:tr>
      <w:tr>
        <w:trPr>
          <w:cantSplit w:val="true"/>
        </w:trPr>
        <w:tc>
          <w:tcPr>
            <w:tcW w:w="2333" w:type="dxa"/>
          </w:tcPr>
          <w:p>
            <w:pPr>
              <w:pStyle w:val="Compact"/>
              <w:spacing w:before="20" w:after="20"/>
              <w:jc w:val="left"/>
            </w:pPr>
            <w:r>
              <w:rPr>
                <w:rStyle w:val="VerbatimChar"/>
                <w:sz w:val="18"/>
                <w:b/>
                <w:color w:val="8A5A00"/>
              </w:rPr>
              <w:t>{{ORGANISATION}}</w:t>
            </w:r>
          </w:p>
        </w:tc>
        <w:tc>
          <w:tcPr>
            <w:tcW w:w="3838" w:type="dxa"/>
          </w:tcPr>
          <w:p>
            <w:pPr>
              <w:pStyle w:val="Compact"/>
              <w:spacing w:before="20" w:after="20"/>
              <w:jc w:val="left"/>
            </w:pPr>
            <w:r>
              <w:rPr>
                <w:sz w:val="18"/>
              </w:rPr>
              <w:t>Nom de l’organisation</w:t>
            </w:r>
          </w:p>
        </w:tc>
        <w:tc>
          <w:tcPr>
            <w:tcW w:w="3240" w:type="dxa"/>
          </w:tcPr>
          <w:p>
            <w:pPr>
              <w:pStyle w:val="Compact"/>
              <w:spacing w:before="20" w:after="20"/>
              <w:jc w:val="left"/>
            </w:pPr>
            <w:r>
              <w:rPr>
                <w:sz w:val="18"/>
              </w:rPr>
              <w:t>Remplacer partout</w:t>
            </w:r>
          </w:p>
        </w:tc>
      </w:tr>
      <w:tr>
        <w:trPr>
          <w:cantSplit w:val="true"/>
        </w:trPr>
        <w:tc>
          <w:tcPr>
            <w:tcW w:w="2333" w:type="dxa"/>
            <w:shd w:val="clear" w:color="auto" w:fill="EEF2F6"/>
          </w:tcPr>
          <w:p>
            <w:pPr>
              <w:pStyle w:val="Compact"/>
              <w:spacing w:before="20" w:after="20"/>
              <w:jc w:val="left"/>
            </w:pPr>
            <w:r>
              <w:rPr>
                <w:rStyle w:val="VerbatimChar"/>
                <w:sz w:val="18"/>
                <w:b/>
                <w:color w:val="8A5A00"/>
              </w:rPr>
              <w:t>{{FONCTION_…}}</w:t>
            </w:r>
          </w:p>
        </w:tc>
        <w:tc>
          <w:tcPr>
            <w:tcW w:w="3838" w:type="dxa"/>
            <w:shd w:val="clear" w:color="auto" w:fill="EEF2F6"/>
          </w:tcPr>
          <w:p>
            <w:pPr>
              <w:pStyle w:val="Compact"/>
              <w:spacing w:before="20" w:after="20"/>
              <w:jc w:val="left"/>
            </w:pPr>
            <w:r>
              <w:rPr>
                <w:sz w:val="18"/>
              </w:rPr>
              <w:t>Fonction d’une personne (jamais un nom propre dans les registres)</w:t>
            </w:r>
          </w:p>
        </w:tc>
        <w:tc>
          <w:tcPr>
            <w:tcW w:w="3240" w:type="dxa"/>
            <w:shd w:val="clear" w:color="auto" w:fill="EEF2F6"/>
          </w:tcPr>
          <w:p>
            <w:pPr>
              <w:pStyle w:val="Compact"/>
              <w:spacing w:before="20" w:after="20"/>
              <w:jc w:val="left"/>
            </w:pPr>
            <w:r>
              <w:rPr>
                <w:sz w:val="18"/>
              </w:rPr>
              <w:t>Remplacer</w:t>
            </w:r>
          </w:p>
        </w:tc>
      </w:tr>
      <w:tr>
        <w:trPr>
          <w:cantSplit w:val="true"/>
        </w:trPr>
        <w:tc>
          <w:tcPr>
            <w:tcW w:w="2333" w:type="dxa"/>
          </w:tcPr>
          <w:p>
            <w:pPr>
              <w:pStyle w:val="Compact"/>
              <w:spacing w:before="20" w:after="20"/>
              <w:jc w:val="left"/>
            </w:pPr>
            <w:r>
              <w:rPr>
                <w:rStyle w:val="VerbatimChar"/>
                <w:sz w:val="18"/>
                <w:b/>
                <w:color w:val="8A5A00"/>
              </w:rPr>
              <w:t>{{SERVICE_…}}</w:t>
            </w:r>
            <w:r>
              <w:rPr>
                <w:sz w:val="18"/>
              </w:rPr>
              <w:t>,</w:t>
            </w:r>
            <w:r>
              <w:rPr>
                <w:sz w:val="18"/>
              </w:rPr>
              <w:t xml:space="preserve"> </w:t>
            </w:r>
            <w:r>
              <w:rPr>
                <w:rStyle w:val="VerbatimChar"/>
                <w:sz w:val="18"/>
                <w:b/>
                <w:color w:val="8A5A00"/>
              </w:rPr>
              <w:t>{{ACTIVITE_…}}</w:t>
            </w:r>
          </w:p>
        </w:tc>
        <w:tc>
          <w:tcPr>
            <w:tcW w:w="3838" w:type="dxa"/>
          </w:tcPr>
          <w:p>
            <w:pPr>
              <w:pStyle w:val="Compact"/>
              <w:spacing w:before="20" w:after="20"/>
              <w:jc w:val="left"/>
            </w:pPr>
            <w:r>
              <w:rPr>
                <w:sz w:val="18"/>
              </w:rPr>
              <w:t>Services et activités de l’organisation</w:t>
            </w:r>
          </w:p>
        </w:tc>
        <w:tc>
          <w:tcPr>
            <w:tcW w:w="3240" w:type="dxa"/>
          </w:tcPr>
          <w:p>
            <w:pPr>
              <w:pStyle w:val="Compact"/>
              <w:spacing w:before="20" w:after="20"/>
              <w:jc w:val="left"/>
            </w:pPr>
            <w:r>
              <w:rPr>
                <w:sz w:val="18"/>
              </w:rPr>
              <w:t>Remplacer ; ajouter ou supprimer des lignes</w:t>
            </w:r>
          </w:p>
        </w:tc>
      </w:tr>
      <w:tr>
        <w:trPr>
          <w:cantSplit w:val="true"/>
        </w:trPr>
        <w:tc>
          <w:tcPr>
            <w:tcW w:w="2333" w:type="dxa"/>
            <w:shd w:val="clear" w:color="auto" w:fill="EEF2F6"/>
          </w:tcPr>
          <w:p>
            <w:pPr>
              <w:pStyle w:val="Compact"/>
              <w:spacing w:before="20" w:after="20"/>
              <w:jc w:val="left"/>
            </w:pPr>
            <w:r>
              <w:rPr>
                <w:rStyle w:val="VerbatimChar"/>
                <w:sz w:val="18"/>
                <w:b/>
                <w:color w:val="8A5A00"/>
              </w:rPr>
              <w:t>{{INSTANCE_…}}</w:t>
            </w:r>
          </w:p>
        </w:tc>
        <w:tc>
          <w:tcPr>
            <w:tcW w:w="3838" w:type="dxa"/>
            <w:shd w:val="clear" w:color="auto" w:fill="EEF2F6"/>
          </w:tcPr>
          <w:p>
            <w:pPr>
              <w:pStyle w:val="Compact"/>
              <w:spacing w:before="20" w:after="20"/>
              <w:jc w:val="left"/>
            </w:pPr>
            <w:r>
              <w:rPr>
                <w:sz w:val="18"/>
              </w:rPr>
              <w:t>Comité ou instance de gouvernance</w:t>
            </w:r>
          </w:p>
        </w:tc>
        <w:tc>
          <w:tcPr>
            <w:tcW w:w="3240" w:type="dxa"/>
            <w:shd w:val="clear" w:color="auto" w:fill="EEF2F6"/>
          </w:tcPr>
          <w:p>
            <w:pPr>
              <w:pStyle w:val="Compact"/>
              <w:spacing w:before="20" w:after="20"/>
              <w:jc w:val="left"/>
            </w:pPr>
            <w:r>
              <w:rPr>
                <w:sz w:val="18"/>
              </w:rPr>
              <w:t>Faire correspondre à la comitologie existante</w:t>
            </w:r>
          </w:p>
        </w:tc>
      </w:tr>
      <w:tr>
        <w:trPr>
          <w:cantSplit w:val="true"/>
        </w:trPr>
        <w:tc>
          <w:tcPr>
            <w:tcW w:w="2333" w:type="dxa"/>
          </w:tcPr>
          <w:p>
            <w:pPr>
              <w:pStyle w:val="Compact"/>
              <w:spacing w:before="20" w:after="20"/>
              <w:jc w:val="left"/>
            </w:pPr>
            <w:r>
              <w:rPr>
                <w:bCs/>
                <w:b/>
                <w:sz w:val="18"/>
              </w:rPr>
              <w:t>[À VALIDER]</w:t>
            </w:r>
          </w:p>
        </w:tc>
        <w:tc>
          <w:tcPr>
            <w:tcW w:w="3838" w:type="dxa"/>
          </w:tcPr>
          <w:p>
            <w:pPr>
              <w:pStyle w:val="Compact"/>
              <w:spacing w:before="20" w:after="20"/>
              <w:jc w:val="left"/>
            </w:pPr>
            <w:r>
              <w:rPr>
                <w:sz w:val="18"/>
              </w:rPr>
              <w:t>Valeur proposée par défaut, cohérente avec la pratique courante</w:t>
            </w:r>
          </w:p>
        </w:tc>
        <w:tc>
          <w:tcPr>
            <w:tcW w:w="3240" w:type="dxa"/>
          </w:tcPr>
          <w:p>
            <w:pPr>
              <w:pStyle w:val="Compact"/>
              <w:spacing w:before="20" w:after="20"/>
              <w:jc w:val="left"/>
            </w:pPr>
            <w:r>
              <w:rPr>
                <w:sz w:val="18"/>
              </w:rPr>
              <w:t>Confirmer ou ajuster avec le commanditaire et les métiers</w:t>
            </w:r>
          </w:p>
        </w:tc>
      </w:tr>
      <w:tr>
        <w:trPr>
          <w:cantSplit w:val="true"/>
        </w:trPr>
        <w:tc>
          <w:tcPr>
            <w:tcW w:w="2333" w:type="dxa"/>
            <w:shd w:val="clear" w:color="auto" w:fill="EEF2F6"/>
          </w:tcPr>
          <w:p>
            <w:pPr>
              <w:pStyle w:val="Compact"/>
              <w:spacing w:before="20" w:after="20"/>
              <w:jc w:val="left"/>
            </w:pPr>
            <w:r>
              <w:rPr>
                <w:bCs/>
                <w:b/>
                <w:sz w:val="18"/>
              </w:rPr>
              <w:t>[À COMPLÉTER]</w:t>
            </w:r>
          </w:p>
        </w:tc>
        <w:tc>
          <w:tcPr>
            <w:tcW w:w="3838" w:type="dxa"/>
            <w:shd w:val="clear" w:color="auto" w:fill="EEF2F6"/>
          </w:tcPr>
          <w:p>
            <w:pPr>
              <w:pStyle w:val="Compact"/>
              <w:spacing w:before="20" w:after="20"/>
              <w:jc w:val="left"/>
            </w:pPr>
            <w:r>
              <w:rPr>
                <w:sz w:val="18"/>
              </w:rPr>
              <w:t>Élément propre à l’organisation, non déductible du modèle</w:t>
            </w:r>
          </w:p>
        </w:tc>
        <w:tc>
          <w:tcPr>
            <w:tcW w:w="3240" w:type="dxa"/>
            <w:shd w:val="clear" w:color="auto" w:fill="EEF2F6"/>
          </w:tcPr>
          <w:p>
            <w:pPr>
              <w:pStyle w:val="Compact"/>
              <w:spacing w:before="20" w:after="20"/>
              <w:jc w:val="left"/>
            </w:pPr>
            <w:r>
              <w:rPr>
                <w:sz w:val="18"/>
              </w:rPr>
              <w:t>Produire le contenu</w:t>
            </w:r>
          </w:p>
        </w:tc>
      </w:tr>
    </w:tbl>
    <w:p>
      <w:pPr>
        <w:pStyle w:val="BodyText"/>
      </w:pPr>
      <w:r>
        <w:rPr>
          <w:bCs/>
          <w:b/>
        </w:rPr>
        <w:t>Ordre d’adaptation recommandé</w:t>
      </w:r>
    </w:p>
    <w:p>
      <w:pPr>
        <w:numPr>
          <w:ilvl w:val="0"/>
          <w:numId w:val="1001"/>
        </w:numPr>
        <w:pStyle w:val="Compact"/>
      </w:pPr>
      <w:r>
        <w:t>Choisir le format (express, standard, approfondi) et nommer le commanditaire (§2).</w:t>
      </w:r>
    </w:p>
    <w:p>
      <w:pPr>
        <w:numPr>
          <w:ilvl w:val="0"/>
          <w:numId w:val="1001"/>
        </w:numPr>
        <w:pStyle w:val="Compact"/>
      </w:pPr>
      <w:r>
        <w:t>Adapter la grille d’évaluation — hypothèses, critères, échelle, horizons — et la faire valider</w:t>
      </w:r>
      <w:r>
        <w:t xml:space="preserve"> </w:t>
      </w:r>
      <w:r>
        <w:rPr>
          <w:bCs/>
          <w:b/>
        </w:rPr>
        <w:t>avant tout entretien</w:t>
      </w:r>
      <w:r>
        <w:t xml:space="preserve"> </w:t>
      </w:r>
      <w:r>
        <w:t>(§3).</w:t>
      </w:r>
    </w:p>
    <w:p>
      <w:pPr>
        <w:numPr>
          <w:ilvl w:val="0"/>
          <w:numId w:val="1001"/>
        </w:numPr>
        <w:pStyle w:val="Compact"/>
      </w:pPr>
      <w:r>
        <w:t>Dresser avec la direction la liste des services, avec pour chacun une DMIA et un PRD (§4).</w:t>
      </w:r>
    </w:p>
    <w:p>
      <w:pPr>
        <w:numPr>
          <w:ilvl w:val="0"/>
          <w:numId w:val="1001"/>
        </w:numPr>
        <w:pStyle w:val="Compact"/>
      </w:pPr>
      <w:r>
        <w:t>Conduire les entretiens sur les seules activités des services prioritaires ; appliquer la règle d’héritage aux autres (§5).</w:t>
      </w:r>
    </w:p>
    <w:p>
      <w:pPr>
        <w:numPr>
          <w:ilvl w:val="0"/>
          <w:numId w:val="1001"/>
        </w:numPr>
        <w:pStyle w:val="Compact"/>
      </w:pPr>
      <w:r>
        <w:t>Recenser les ressources, les dépendances et les capacités constatées (§6).</w:t>
      </w:r>
    </w:p>
    <w:p>
      <w:pPr>
        <w:numPr>
          <w:ilvl w:val="0"/>
          <w:numId w:val="1001"/>
        </w:numPr>
        <w:pStyle w:val="Compact"/>
      </w:pPr>
      <w:r>
        <w:t>Consolider dans le classeur, puis rédiger la synthèse pour la direction (§7, synthèse).</w:t>
      </w:r>
    </w:p>
    <w:p>
      <w:pPr>
        <w:numPr>
          <w:ilvl w:val="0"/>
          <w:numId w:val="1001"/>
        </w:numPr>
        <w:pStyle w:val="Compact"/>
      </w:pPr>
      <w:r>
        <w:t>Faire valider, classer le document et fixer la date de la prochaine revue (§8).</w:t>
      </w:r>
    </w:p>
    <w:p>
      <w:pPr>
        <w:pStyle w:val="FirstParagraph"/>
      </w:pPr>
      <w:r>
        <w:t>L’annexe D présente un exemple complet sur une organisation fictive. L’annexe E recense les éléments à produire ou à arbitrer, avec un porteur suggéré.</w:t>
      </w:r>
    </w:p>
    <w:p>
      <w:r>
        <w:pict>
          <v:rect style="width:0;height:1.5pt" o:hralign="center" o:hrstd="t" o:hr="t"/>
        </w:pict>
      </w:r>
    </w:p>
    <w:bookmarkEnd w:id="24"/>
    <w:bookmarkStart w:id="25" w:name="synthèse-pour-la-direction"/>
    <w:p>
      <w:pPr>
        <w:pStyle w:val="Heading2"/>
      </w:pPr>
      <w:r>
        <w:t>Synthèse pour la direction</w:t>
      </w:r>
    </w:p>
    <w:p>
      <w:pPr>
        <w:pStyle w:val="FirstParagraph"/>
      </w:pPr>
      <w:r>
        <w:rPr>
          <w:iCs/>
          <w:i/>
        </w:rPr>
        <w:t>Gabarit à remplir en fin d’analyse (étape 7). Deux pages au plus. L’annexe D en donne un exemple rempli.</w:t>
      </w:r>
    </w:p>
    <w:p>
      <w:pPr>
        <w:keepNext/>
        <w:pStyle w:val="BodyText"/>
      </w:pPr>
      <w:r>
        <w:rPr>
          <w:bCs/>
          <w:b/>
        </w:rPr>
        <w:t>Ce que l’analyse établit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269"/>
        <w:gridCol w:w="7142"/>
      </w:tblGrid>
      <w:tr>
        <w:trPr>
          <w:tblHeader w:val="true"/>
          <w:cantSplit w:val="true"/>
          <w:tblHeader w:val="true"/>
        </w:trPr>
        <w:tc>
          <w:tcPr>
            <w:tcW w:w="2269" w:type="dxa"/>
            <w:shd w:val="clear" w:color="auto" w:fill="1F3A5F"/>
          </w:tcPr>
          <w:p>
            <w:pPr>
              <w:pStyle w:val="Compact"/>
              <w:spacing w:before="20" w:after="20"/>
              <w:jc w:val="left"/>
            </w:pPr>
            <w:r>
              <w:rPr>
                <w:b/>
                <w:color w:val="FFFFFF"/>
                <w:sz w:val="18"/>
              </w:rPr>
              <w:t>Axe</w:t>
            </w:r>
          </w:p>
        </w:tc>
        <w:tc>
          <w:tcPr>
            <w:tcW w:w="7142" w:type="dxa"/>
            <w:shd w:val="clear" w:color="auto" w:fill="1F3A5F"/>
          </w:tcPr>
          <w:p>
            <w:pPr>
              <w:pStyle w:val="Compact"/>
              <w:spacing w:before="20" w:after="20"/>
              <w:jc w:val="left"/>
            </w:pPr>
            <w:r>
              <w:rPr>
                <w:b/>
                <w:color w:val="FFFFFF"/>
                <w:sz w:val="18"/>
              </w:rPr>
              <w:t>Résultat</w:t>
            </w:r>
          </w:p>
        </w:tc>
      </w:tr>
      <w:tr>
        <w:trPr>
          <w:cantSplit w:val="true"/>
        </w:trPr>
        <w:tc>
          <w:tcPr>
            <w:tcW w:w="2269" w:type="dxa"/>
          </w:tcPr>
          <w:p>
            <w:pPr>
              <w:pStyle w:val="Compact"/>
              <w:spacing w:before="20" w:after="20"/>
              <w:jc w:val="left"/>
            </w:pPr>
            <w:r>
              <w:rPr>
                <w:bCs/>
                <w:b/>
                <w:sz w:val="18"/>
              </w:rPr>
              <w:t>Services prioritaires</w:t>
            </w:r>
          </w:p>
        </w:tc>
        <w:tc>
          <w:tcPr>
            <w:tcW w:w="7142" w:type="dxa"/>
          </w:tcPr>
          <w:p>
            <w:pPr>
              <w:pStyle w:val="Compact"/>
              <w:spacing w:before="20" w:after="20"/>
              <w:jc w:val="left"/>
            </w:pPr>
            <w:r>
              <w:rPr>
                <w:bCs/>
                <w:b/>
                <w:sz w:val="18"/>
              </w:rPr>
              <w:t>[À COMPLÉTER]</w:t>
            </w:r>
            <w:r>
              <w:rPr>
                <w:sz w:val="18"/>
              </w:rPr>
              <w:t xml:space="preserve"> </w:t>
            </w:r>
            <w:r>
              <w:rPr>
                <w:sz w:val="18"/>
              </w:rPr>
              <w:t>Liste des services que</w:t>
            </w:r>
            <w:r>
              <w:rPr>
                <w:sz w:val="18"/>
              </w:rPr>
              <w:t xml:space="preserve"> </w:t>
            </w:r>
            <w:r>
              <w:rPr>
                <w:rStyle w:val="VerbatimChar"/>
                <w:sz w:val="18"/>
                <w:b/>
                <w:color w:val="8A5A00"/>
              </w:rPr>
              <w:t>{{ORGANISATION}}</w:t>
            </w:r>
            <w:r>
              <w:rPr>
                <w:sz w:val="18"/>
              </w:rPr>
              <w:t xml:space="preserve"> </w:t>
            </w:r>
            <w:r>
              <w:rPr>
                <w:sz w:val="18"/>
              </w:rPr>
              <w:t>ne peut pas cesser de rendre, avec leur DMIA</w:t>
            </w:r>
          </w:p>
        </w:tc>
      </w:tr>
      <w:tr>
        <w:trPr>
          <w:cantSplit w:val="true"/>
        </w:trPr>
        <w:tc>
          <w:tcPr>
            <w:tcW w:w="2269" w:type="dxa"/>
            <w:shd w:val="clear" w:color="auto" w:fill="EEF2F6"/>
          </w:tcPr>
          <w:p>
            <w:pPr>
              <w:pStyle w:val="Compact"/>
              <w:spacing w:before="20" w:after="20"/>
              <w:jc w:val="left"/>
            </w:pPr>
            <w:r>
              <w:rPr>
                <w:bCs/>
                <w:b/>
                <w:sz w:val="18"/>
              </w:rPr>
              <w:t>Activités analysées</w:t>
            </w:r>
          </w:p>
        </w:tc>
        <w:tc>
          <w:tcPr>
            <w:tcW w:w="7142" w:type="dxa"/>
            <w:shd w:val="clear" w:color="auto" w:fill="EEF2F6"/>
          </w:tcPr>
          <w:p>
            <w:pPr>
              <w:pStyle w:val="Compact"/>
              <w:spacing w:before="20" w:after="20"/>
              <w:jc w:val="left"/>
            </w:pPr>
            <w:r>
              <w:rPr>
                <w:bCs/>
                <w:b/>
                <w:sz w:val="18"/>
              </w:rPr>
              <w:t>[À COMPLÉTER]</w:t>
            </w:r>
            <w:r>
              <w:rPr>
                <w:sz w:val="18"/>
              </w:rPr>
              <w:t xml:space="preserve"> </w:t>
            </w:r>
            <w:r>
              <w:rPr>
                <w:sz w:val="18"/>
              </w:rPr>
              <w:t>Nombre d’activités analysées en entretien ; nombre couvert par la règle d’héritage</w:t>
            </w:r>
          </w:p>
        </w:tc>
      </w:tr>
      <w:tr>
        <w:trPr>
          <w:cantSplit w:val="true"/>
        </w:trPr>
        <w:tc>
          <w:tcPr>
            <w:tcW w:w="2269" w:type="dxa"/>
          </w:tcPr>
          <w:p>
            <w:pPr>
              <w:pStyle w:val="Compact"/>
              <w:spacing w:before="20" w:after="20"/>
              <w:jc w:val="left"/>
            </w:pPr>
            <w:r>
              <w:rPr>
                <w:bCs/>
                <w:b/>
                <w:sz w:val="18"/>
              </w:rPr>
              <w:t>Répartition par classe</w:t>
            </w:r>
          </w:p>
        </w:tc>
        <w:tc>
          <w:tcPr>
            <w:tcW w:w="7142" w:type="dxa"/>
          </w:tcPr>
          <w:p>
            <w:pPr>
              <w:pStyle w:val="Compact"/>
              <w:spacing w:before="20" w:after="20"/>
              <w:jc w:val="left"/>
            </w:pPr>
            <w:r>
              <w:rPr>
                <w:bCs/>
                <w:b/>
                <w:sz w:val="18"/>
              </w:rPr>
              <w:t>[À COMPLÉTER]</w:t>
            </w:r>
            <w:r>
              <w:rPr>
                <w:sz w:val="18"/>
              </w:rPr>
              <w:t xml:space="preserve"> </w:t>
            </w:r>
            <w:r>
              <w:rPr>
                <w:sz w:val="18"/>
              </w:rPr>
              <w:t>Nombre d’activités par classe de criticité (§7.1)</w:t>
            </w:r>
          </w:p>
        </w:tc>
      </w:tr>
      <w:tr>
        <w:trPr>
          <w:cantSplit w:val="true"/>
        </w:trPr>
        <w:tc>
          <w:tcPr>
            <w:tcW w:w="2269" w:type="dxa"/>
            <w:shd w:val="clear" w:color="auto" w:fill="EEF2F6"/>
          </w:tcPr>
          <w:p>
            <w:pPr>
              <w:pStyle w:val="Compact"/>
              <w:spacing w:before="20" w:after="20"/>
              <w:jc w:val="left"/>
            </w:pPr>
            <w:r>
              <w:rPr>
                <w:bCs/>
                <w:b/>
                <w:sz w:val="18"/>
              </w:rPr>
              <w:t>Points de concentration</w:t>
            </w:r>
          </w:p>
        </w:tc>
        <w:tc>
          <w:tcPr>
            <w:tcW w:w="7142" w:type="dxa"/>
            <w:shd w:val="clear" w:color="auto" w:fill="EEF2F6"/>
          </w:tcPr>
          <w:p>
            <w:pPr>
              <w:pStyle w:val="Compact"/>
              <w:spacing w:before="20" w:after="20"/>
              <w:jc w:val="left"/>
            </w:pPr>
            <w:r>
              <w:rPr>
                <w:bCs/>
                <w:b/>
                <w:sz w:val="18"/>
              </w:rPr>
              <w:t>[À COMPLÉTER]</w:t>
            </w:r>
            <w:r>
              <w:rPr>
                <w:sz w:val="18"/>
              </w:rPr>
              <w:t xml:space="preserve"> </w:t>
            </w:r>
            <w:r>
              <w:rPr>
                <w:sz w:val="18"/>
              </w:rPr>
              <w:t>Ressources utilisées par plusieurs activités prioritaires, sans solution de rechange (§6.3)</w:t>
            </w:r>
          </w:p>
        </w:tc>
      </w:tr>
      <w:tr>
        <w:trPr>
          <w:cantSplit w:val="true"/>
        </w:trPr>
        <w:tc>
          <w:tcPr>
            <w:tcW w:w="2269" w:type="dxa"/>
          </w:tcPr>
          <w:p>
            <w:pPr>
              <w:pStyle w:val="Compact"/>
              <w:spacing w:before="20" w:after="20"/>
              <w:jc w:val="left"/>
            </w:pPr>
            <w:r>
              <w:rPr>
                <w:bCs/>
                <w:b/>
                <w:sz w:val="18"/>
              </w:rPr>
              <w:t>Écarts majeurs</w:t>
            </w:r>
          </w:p>
        </w:tc>
        <w:tc>
          <w:tcPr>
            <w:tcW w:w="7142" w:type="dxa"/>
          </w:tcPr>
          <w:p>
            <w:pPr>
              <w:pStyle w:val="Compact"/>
              <w:spacing w:before="20" w:after="20"/>
              <w:jc w:val="left"/>
            </w:pPr>
            <w:r>
              <w:rPr>
                <w:bCs/>
                <w:b/>
                <w:sz w:val="18"/>
              </w:rPr>
              <w:t>[À COMPLÉTER]</w:t>
            </w:r>
            <w:r>
              <w:rPr>
                <w:sz w:val="18"/>
              </w:rPr>
              <w:t xml:space="preserve"> </w:t>
            </w:r>
            <w:r>
              <w:rPr>
                <w:sz w:val="18"/>
              </w:rPr>
              <w:t>Écarts entre l’objectif requis et la capacité constatée, y compris les capacités inconnues (§7.3)</w:t>
            </w:r>
          </w:p>
        </w:tc>
      </w:tr>
      <w:tr>
        <w:trPr>
          <w:cantSplit w:val="true"/>
        </w:trPr>
        <w:tc>
          <w:tcPr>
            <w:tcW w:w="2269" w:type="dxa"/>
            <w:shd w:val="clear" w:color="auto" w:fill="EEF2F6"/>
          </w:tcPr>
          <w:p>
            <w:pPr>
              <w:pStyle w:val="Compact"/>
              <w:spacing w:before="20" w:after="20"/>
              <w:jc w:val="left"/>
            </w:pPr>
            <w:r>
              <w:rPr>
                <w:bCs/>
                <w:b/>
                <w:sz w:val="18"/>
              </w:rPr>
              <w:t>Modes dégradés non éprouvés</w:t>
            </w:r>
          </w:p>
        </w:tc>
        <w:tc>
          <w:tcPr>
            <w:tcW w:w="7142" w:type="dxa"/>
            <w:shd w:val="clear" w:color="auto" w:fill="EEF2F6"/>
          </w:tcPr>
          <w:p>
            <w:pPr>
              <w:pStyle w:val="Compact"/>
              <w:spacing w:before="20" w:after="20"/>
              <w:jc w:val="left"/>
            </w:pPr>
            <w:r>
              <w:rPr>
                <w:bCs/>
                <w:b/>
                <w:sz w:val="18"/>
              </w:rPr>
              <w:t>[À COMPLÉTER]</w:t>
            </w:r>
            <w:r>
              <w:rPr>
                <w:sz w:val="18"/>
              </w:rPr>
              <w:t xml:space="preserve"> </w:t>
            </w:r>
            <w:r>
              <w:rPr>
                <w:sz w:val="18"/>
              </w:rPr>
              <w:t>Contournements déclarés mais jamais pratiqués</w:t>
            </w:r>
          </w:p>
        </w:tc>
      </w:tr>
    </w:tbl>
    <w:p>
      <w:pPr>
        <w:keepNext/>
        <w:pStyle w:val="BodyText"/>
      </w:pPr>
      <w:r>
        <w:rPr>
          <w:bCs/>
          <w:b/>
        </w:rPr>
        <w:t>Décisions proposées à la direction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432"/>
        <w:gridCol w:w="4293"/>
        <w:gridCol w:w="3581"/>
        <w:gridCol w:w="1105"/>
      </w:tblGrid>
      <w:tr>
        <w:trPr>
          <w:tblHeader w:val="true"/>
          <w:cantSplit w:val="true"/>
          <w:tblHeader w:val="true"/>
        </w:trPr>
        <w:tc>
          <w:tcPr>
            <w:tcW w:w="432" w:type="dxa"/>
            <w:shd w:val="clear" w:color="auto" w:fill="1F3A5F"/>
          </w:tcPr>
          <w:p>
            <w:pPr>
              <w:pStyle w:val="Compact"/>
              <w:spacing w:before="20" w:after="20"/>
              <w:jc w:val="left"/>
            </w:pPr>
            <w:r>
              <w:rPr>
                <w:b/>
                <w:color w:val="FFFFFF"/>
                <w:sz w:val="18"/>
              </w:rPr>
              <w:t>#</w:t>
            </w:r>
          </w:p>
        </w:tc>
        <w:tc>
          <w:tcPr>
            <w:tcW w:w="4293" w:type="dxa"/>
            <w:shd w:val="clear" w:color="auto" w:fill="1F3A5F"/>
          </w:tcPr>
          <w:p>
            <w:pPr>
              <w:pStyle w:val="Compact"/>
              <w:spacing w:before="20" w:after="20"/>
              <w:jc w:val="left"/>
            </w:pPr>
            <w:r>
              <w:rPr>
                <w:b/>
                <w:color w:val="FFFFFF"/>
                <w:sz w:val="18"/>
              </w:rPr>
              <w:t>Décision</w:t>
            </w:r>
          </w:p>
        </w:tc>
        <w:tc>
          <w:tcPr>
            <w:tcW w:w="3581" w:type="dxa"/>
            <w:shd w:val="clear" w:color="auto" w:fill="1F3A5F"/>
          </w:tcPr>
          <w:p>
            <w:pPr>
              <w:pStyle w:val="Compact"/>
              <w:spacing w:before="20" w:after="20"/>
              <w:jc w:val="left"/>
            </w:pPr>
            <w:r>
              <w:rPr>
                <w:b/>
                <w:color w:val="FFFFFF"/>
                <w:sz w:val="18"/>
              </w:rPr>
              <w:t>Impact</w:t>
            </w:r>
          </w:p>
        </w:tc>
        <w:tc>
          <w:tcPr>
            <w:tcW w:w="1105" w:type="dxa"/>
            <w:shd w:val="clear" w:color="auto" w:fill="1F3A5F"/>
          </w:tcPr>
          <w:p>
            <w:pPr>
              <w:pStyle w:val="Compact"/>
              <w:spacing w:before="20" w:after="20"/>
              <w:jc w:val="left"/>
            </w:pPr>
            <w:r>
              <w:rPr>
                <w:b/>
                <w:color w:val="FFFFFF"/>
                <w:sz w:val="18"/>
              </w:rPr>
              <w:t>Urgence</w:t>
            </w:r>
          </w:p>
        </w:tc>
      </w:tr>
      <w:tr>
        <w:trPr>
          <w:cantSplit w:val="true"/>
        </w:trPr>
        <w:tc>
          <w:tcPr>
            <w:tcW w:w="432" w:type="dxa"/>
          </w:tcPr>
          <w:p>
            <w:pPr>
              <w:pStyle w:val="Compact"/>
              <w:spacing w:before="20" w:after="20"/>
              <w:jc w:val="left"/>
            </w:pPr>
            <w:r>
              <w:rPr>
                <w:sz w:val="18"/>
              </w:rPr>
              <w:t>1</w:t>
            </w:r>
          </w:p>
        </w:tc>
        <w:tc>
          <w:tcPr>
            <w:tcW w:w="4293" w:type="dxa"/>
          </w:tcPr>
          <w:p>
            <w:pPr>
              <w:pStyle w:val="Compact"/>
              <w:spacing w:before="20" w:after="20"/>
              <w:jc w:val="left"/>
            </w:pPr>
            <w:r>
              <w:rPr>
                <w:sz w:val="18"/>
              </w:rPr>
              <w:t>Valider les services prioritaires et leurs seuils (DMIA, objectif de délai de reprise, PRD)</w:t>
            </w:r>
          </w:p>
        </w:tc>
        <w:tc>
          <w:tcPr>
            <w:tcW w:w="3581" w:type="dxa"/>
          </w:tcPr>
          <w:p>
            <w:pPr>
              <w:pStyle w:val="Compact"/>
              <w:spacing w:before="20" w:after="20"/>
              <w:jc w:val="left"/>
            </w:pPr>
            <w:r>
              <w:rPr>
                <w:sz w:val="18"/>
              </w:rPr>
              <w:t>Fonde la stratégie de continuité et le dimensionnement des solutions</w:t>
            </w:r>
          </w:p>
        </w:tc>
        <w:tc>
          <w:tcPr>
            <w:tcW w:w="1105" w:type="dxa"/>
          </w:tcPr>
          <w:p>
            <w:pPr>
              <w:pStyle w:val="Compact"/>
              <w:spacing w:before="20" w:after="20"/>
              <w:jc w:val="left"/>
            </w:pPr>
            <w:r>
              <w:rPr>
                <w:sz w:val="18"/>
              </w:rPr>
              <w:t>Haute</w:t>
            </w:r>
          </w:p>
        </w:tc>
      </w:tr>
      <w:tr>
        <w:trPr>
          <w:cantSplit w:val="true"/>
        </w:trPr>
        <w:tc>
          <w:tcPr>
            <w:tcW w:w="432" w:type="dxa"/>
            <w:shd w:val="clear" w:color="auto" w:fill="EEF2F6"/>
          </w:tcPr>
          <w:p>
            <w:pPr>
              <w:pStyle w:val="Compact"/>
              <w:spacing w:before="20" w:after="20"/>
              <w:jc w:val="left"/>
            </w:pPr>
            <w:r>
              <w:rPr>
                <w:sz w:val="18"/>
              </w:rPr>
              <w:t>2</w:t>
            </w:r>
          </w:p>
        </w:tc>
        <w:tc>
          <w:tcPr>
            <w:tcW w:w="4293" w:type="dxa"/>
            <w:shd w:val="clear" w:color="auto" w:fill="EEF2F6"/>
          </w:tcPr>
          <w:p>
            <w:pPr>
              <w:pStyle w:val="Compact"/>
              <w:spacing w:before="20" w:after="20"/>
              <w:jc w:val="left"/>
            </w:pPr>
            <w:r>
              <w:rPr>
                <w:sz w:val="18"/>
              </w:rPr>
              <w:t>Arbitrer le traitement des écarts majeurs (traiter, compenser, accepter)</w:t>
            </w:r>
          </w:p>
        </w:tc>
        <w:tc>
          <w:tcPr>
            <w:tcW w:w="3581" w:type="dxa"/>
            <w:shd w:val="clear" w:color="auto" w:fill="EEF2F6"/>
          </w:tcPr>
          <w:p>
            <w:pPr>
              <w:pStyle w:val="Compact"/>
              <w:spacing w:before="20" w:after="20"/>
              <w:jc w:val="left"/>
            </w:pPr>
            <w:r>
              <w:rPr>
                <w:sz w:val="18"/>
              </w:rPr>
              <w:t>Engage des moyens ou une acceptation de risque</w:t>
            </w:r>
          </w:p>
        </w:tc>
        <w:tc>
          <w:tcPr>
            <w:tcW w:w="1105" w:type="dxa"/>
            <w:shd w:val="clear" w:color="auto" w:fill="EEF2F6"/>
          </w:tcPr>
          <w:p>
            <w:pPr>
              <w:pStyle w:val="Compact"/>
              <w:spacing w:before="20" w:after="20"/>
              <w:jc w:val="left"/>
            </w:pPr>
            <w:r>
              <w:rPr>
                <w:sz w:val="18"/>
              </w:rPr>
              <w:t>Haute</w:t>
            </w:r>
          </w:p>
        </w:tc>
      </w:tr>
      <w:tr>
        <w:trPr>
          <w:cantSplit w:val="true"/>
        </w:trPr>
        <w:tc>
          <w:tcPr>
            <w:tcW w:w="432" w:type="dxa"/>
          </w:tcPr>
          <w:p>
            <w:pPr>
              <w:pStyle w:val="Compact"/>
              <w:spacing w:before="20" w:after="20"/>
              <w:jc w:val="left"/>
            </w:pPr>
            <w:r>
              <w:rPr>
                <w:sz w:val="18"/>
              </w:rPr>
              <w:t>3</w:t>
            </w:r>
          </w:p>
        </w:tc>
        <w:tc>
          <w:tcPr>
            <w:tcW w:w="4293" w:type="dxa"/>
          </w:tcPr>
          <w:p>
            <w:pPr>
              <w:pStyle w:val="Compact"/>
              <w:spacing w:before="20" w:after="20"/>
              <w:jc w:val="left"/>
            </w:pPr>
            <w:r>
              <w:rPr>
                <w:sz w:val="18"/>
              </w:rPr>
              <w:t>Accepter formellement les écarts non traités</w:t>
            </w:r>
          </w:p>
        </w:tc>
        <w:tc>
          <w:tcPr>
            <w:tcW w:w="3581" w:type="dxa"/>
          </w:tcPr>
          <w:p>
            <w:pPr>
              <w:pStyle w:val="Compact"/>
              <w:spacing w:before="20" w:after="20"/>
              <w:jc w:val="left"/>
            </w:pPr>
            <w:r>
              <w:rPr>
                <w:sz w:val="18"/>
              </w:rPr>
              <w:t>Engage la direction sur ce que le dispositif ne couvre pas</w:t>
            </w:r>
          </w:p>
        </w:tc>
        <w:tc>
          <w:tcPr>
            <w:tcW w:w="1105" w:type="dxa"/>
          </w:tcPr>
          <w:p>
            <w:pPr>
              <w:pStyle w:val="Compact"/>
              <w:spacing w:before="20" w:after="20"/>
              <w:jc w:val="left"/>
            </w:pPr>
            <w:r>
              <w:rPr>
                <w:sz w:val="18"/>
              </w:rPr>
              <w:t>Haute</w:t>
            </w:r>
          </w:p>
        </w:tc>
      </w:tr>
      <w:tr>
        <w:trPr>
          <w:cantSplit w:val="true"/>
        </w:trPr>
        <w:tc>
          <w:tcPr>
            <w:tcW w:w="432" w:type="dxa"/>
            <w:shd w:val="clear" w:color="auto" w:fill="EEF2F6"/>
          </w:tcPr>
          <w:p>
            <w:pPr>
              <w:pStyle w:val="Compact"/>
              <w:spacing w:before="20" w:after="20"/>
              <w:jc w:val="left"/>
            </w:pPr>
            <w:r>
              <w:rPr>
                <w:sz w:val="18"/>
              </w:rPr>
              <w:t>4</w:t>
            </w:r>
          </w:p>
        </w:tc>
        <w:tc>
          <w:tcPr>
            <w:tcW w:w="4293" w:type="dxa"/>
            <w:shd w:val="clear" w:color="auto" w:fill="EEF2F6"/>
          </w:tcPr>
          <w:p>
            <w:pPr>
              <w:pStyle w:val="Compact"/>
              <w:spacing w:before="20" w:after="20"/>
              <w:jc w:val="left"/>
            </w:pPr>
            <w:r>
              <w:rPr>
                <w:sz w:val="18"/>
              </w:rPr>
              <w:t>Désigner les porteurs des actions sur les points de concentration</w:t>
            </w:r>
          </w:p>
        </w:tc>
        <w:tc>
          <w:tcPr>
            <w:tcW w:w="3581" w:type="dxa"/>
            <w:shd w:val="clear" w:color="auto" w:fill="EEF2F6"/>
          </w:tcPr>
          <w:p>
            <w:pPr>
              <w:pStyle w:val="Compact"/>
              <w:spacing w:before="20" w:after="20"/>
              <w:jc w:val="left"/>
            </w:pPr>
            <w:r>
              <w:rPr>
                <w:sz w:val="18"/>
              </w:rPr>
              <w:t>Conditionne la suite</w:t>
            </w:r>
          </w:p>
        </w:tc>
        <w:tc>
          <w:tcPr>
            <w:tcW w:w="1105" w:type="dxa"/>
            <w:shd w:val="clear" w:color="auto" w:fill="EEF2F6"/>
          </w:tcPr>
          <w:p>
            <w:pPr>
              <w:pStyle w:val="Compact"/>
              <w:spacing w:before="20" w:after="20"/>
              <w:jc w:val="left"/>
            </w:pPr>
            <w:r>
              <w:rPr>
                <w:sz w:val="18"/>
              </w:rPr>
              <w:t>Moyenne</w:t>
            </w:r>
          </w:p>
        </w:tc>
      </w:tr>
      <w:tr>
        <w:trPr>
          <w:cantSplit w:val="true"/>
        </w:trPr>
        <w:tc>
          <w:tcPr>
            <w:tcW w:w="432" w:type="dxa"/>
          </w:tcPr>
          <w:p>
            <w:pPr>
              <w:pStyle w:val="Compact"/>
              <w:spacing w:before="20" w:after="20"/>
              <w:jc w:val="left"/>
            </w:pPr>
            <w:r>
              <w:rPr>
                <w:sz w:val="18"/>
              </w:rPr>
              <w:t>5</w:t>
            </w:r>
          </w:p>
        </w:tc>
        <w:tc>
          <w:tcPr>
            <w:tcW w:w="4293" w:type="dxa"/>
          </w:tcPr>
          <w:p>
            <w:pPr>
              <w:pStyle w:val="Compact"/>
              <w:spacing w:before="20" w:after="20"/>
              <w:jc w:val="left"/>
            </w:pPr>
            <w:r>
              <w:rPr>
                <w:sz w:val="18"/>
              </w:rPr>
              <w:t>Fixer la date de la prochaine revue</w:t>
            </w:r>
          </w:p>
        </w:tc>
        <w:tc>
          <w:tcPr>
            <w:tcW w:w="3581" w:type="dxa"/>
          </w:tcPr>
          <w:p>
            <w:pPr>
              <w:pStyle w:val="Compact"/>
              <w:spacing w:before="20" w:after="20"/>
              <w:jc w:val="left"/>
            </w:pPr>
            <w:r>
              <w:rPr>
                <w:sz w:val="18"/>
              </w:rPr>
              <w:t>Maintien en condition</w:t>
            </w:r>
          </w:p>
        </w:tc>
        <w:tc>
          <w:tcPr>
            <w:tcW w:w="1105" w:type="dxa"/>
          </w:tcPr>
          <w:p>
            <w:pPr>
              <w:pStyle w:val="Compact"/>
              <w:spacing w:before="20" w:after="20"/>
              <w:jc w:val="left"/>
            </w:pPr>
            <w:r>
              <w:rPr>
                <w:sz w:val="18"/>
              </w:rPr>
              <w:t>Moyenne</w:t>
            </w:r>
          </w:p>
        </w:tc>
      </w:tr>
    </w:tbl>
    <w:p>
      <w:r>
        <w:pict>
          <v:rect style="width:0;height:1.5pt" o:hralign="center" o:hrstd="t" o:hr="t"/>
        </w:pict>
      </w:r>
    </w:p>
    <w:bookmarkEnd w:id="25"/>
    <w:bookmarkStart w:id="26" w:name="table-des-matières"/>
    <w:p>
      <w:pPr>
        <w:pStyle w:val="Heading2"/>
      </w:pPr>
      <w:r>
        <w:t>Table des matières</w:t>
      </w:r>
    </w:p>
    <w:p>
      <w:pPr>
        <w:numPr>
          <w:ilvl w:val="0"/>
          <w:numId w:val="1002"/>
        </w:numPr>
        <w:pStyle w:val="Compact"/>
      </w:pPr>
      <w:r>
        <w:t>Conventions et définitions</w:t>
      </w:r>
    </w:p>
    <w:p>
      <w:pPr>
        <w:numPr>
          <w:ilvl w:val="0"/>
          <w:numId w:val="1002"/>
        </w:numPr>
        <w:pStyle w:val="Compact"/>
      </w:pPr>
      <w:r>
        <w:t>Cadrage</w:t>
      </w:r>
    </w:p>
    <w:p>
      <w:pPr>
        <w:numPr>
          <w:ilvl w:val="0"/>
          <w:numId w:val="1002"/>
        </w:numPr>
        <w:pStyle w:val="Compact"/>
      </w:pPr>
      <w:r>
        <w:t>Règles d’évaluation</w:t>
      </w:r>
    </w:p>
    <w:p>
      <w:pPr>
        <w:numPr>
          <w:ilvl w:val="0"/>
          <w:numId w:val="1002"/>
        </w:numPr>
        <w:pStyle w:val="Compact"/>
      </w:pPr>
      <w:r>
        <w:t>Registre des services</w:t>
      </w:r>
    </w:p>
    <w:p>
      <w:pPr>
        <w:numPr>
          <w:ilvl w:val="0"/>
          <w:numId w:val="1002"/>
        </w:numPr>
        <w:pStyle w:val="Compact"/>
      </w:pPr>
      <w:r>
        <w:t>Analyse des activités</w:t>
      </w:r>
    </w:p>
    <w:p>
      <w:pPr>
        <w:numPr>
          <w:ilvl w:val="0"/>
          <w:numId w:val="1002"/>
        </w:numPr>
        <w:pStyle w:val="Compact"/>
      </w:pPr>
      <w:r>
        <w:t>Ressources et dépendances</w:t>
      </w:r>
    </w:p>
    <w:p>
      <w:pPr>
        <w:numPr>
          <w:ilvl w:val="0"/>
          <w:numId w:val="1002"/>
        </w:numPr>
        <w:pStyle w:val="Compact"/>
      </w:pPr>
      <w:r>
        <w:t>Consolidation</w:t>
      </w:r>
    </w:p>
    <w:p>
      <w:pPr>
        <w:numPr>
          <w:ilvl w:val="0"/>
          <w:numId w:val="1002"/>
        </w:numPr>
        <w:pStyle w:val="Compact"/>
      </w:pPr>
      <w:r>
        <w:t>Validation, diffusion et revue</w:t>
      </w:r>
    </w:p>
    <w:p>
      <w:pPr>
        <w:numPr>
          <w:ilvl w:val="0"/>
          <w:numId w:val="1002"/>
        </w:numPr>
        <w:pStyle w:val="Compact"/>
      </w:pPr>
      <w:r>
        <w:t>Annexes</w:t>
      </w:r>
    </w:p>
    <w:p>
      <w:r>
        <w:pict>
          <v:rect style="width:0;height:1.5pt" o:hralign="center" o:hrstd="t" o:hr="t"/>
        </w:pict>
      </w:r>
    </w:p>
    <w:bookmarkEnd w:id="26"/>
    <w:bookmarkStart w:id="29" w:name="conventions-et-définitions"/>
    <w:p>
      <w:pPr>
        <w:pStyle w:val="Heading1"/>
      </w:pPr>
      <w:r>
        <w:t>1. Conventions et définitions</w:t>
      </w:r>
    </w:p>
    <w:bookmarkStart w:id="27" w:name="conventions-typographiques"/>
    <w:p>
      <w:pPr>
        <w:keepNext/>
        <w:pStyle w:val="Heading2"/>
      </w:pPr>
      <w:r>
        <w:t>1.1 Conventions typographiques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924"/>
        <w:gridCol w:w="6487"/>
      </w:tblGrid>
      <w:tr>
        <w:trPr>
          <w:tblHeader w:val="true"/>
          <w:cantSplit w:val="true"/>
          <w:tblHeader w:val="true"/>
        </w:trPr>
        <w:tc>
          <w:tcPr>
            <w:tcW w:w="2924" w:type="dxa"/>
            <w:shd w:val="clear" w:color="auto" w:fill="1F3A5F"/>
          </w:tcPr>
          <w:p>
            <w:pPr>
              <w:pStyle w:val="Compact"/>
              <w:spacing w:before="20" w:after="20"/>
              <w:jc w:val="left"/>
            </w:pPr>
            <w:r>
              <w:rPr>
                <w:b/>
                <w:color w:val="FFFFFF"/>
                <w:sz w:val="18"/>
              </w:rPr>
              <w:t>Mise en forme</w:t>
            </w:r>
          </w:p>
        </w:tc>
        <w:tc>
          <w:tcPr>
            <w:tcW w:w="6487" w:type="dxa"/>
            <w:shd w:val="clear" w:color="auto" w:fill="1F3A5F"/>
          </w:tcPr>
          <w:p>
            <w:pPr>
              <w:pStyle w:val="Compact"/>
              <w:spacing w:before="20" w:after="20"/>
              <w:jc w:val="left"/>
            </w:pPr>
            <w:r>
              <w:rPr>
                <w:b/>
                <w:color w:val="FFFFFF"/>
                <w:sz w:val="18"/>
              </w:rPr>
              <w:t>Usage</w:t>
            </w:r>
          </w:p>
        </w:tc>
      </w:tr>
      <w:tr>
        <w:trPr>
          <w:cantSplit w:val="true"/>
        </w:trPr>
        <w:tc>
          <w:tcPr>
            <w:tcW w:w="2924" w:type="dxa"/>
          </w:tcPr>
          <w:p>
            <w:pPr>
              <w:pStyle w:val="Compact"/>
              <w:spacing w:before="20" w:after="20"/>
              <w:jc w:val="left"/>
            </w:pPr>
            <w:r>
              <w:rPr>
                <w:iCs/>
                <w:i/>
                <w:sz w:val="18"/>
              </w:rPr>
              <w:t>Texte en italique</w:t>
            </w:r>
          </w:p>
        </w:tc>
        <w:tc>
          <w:tcPr>
            <w:tcW w:w="6487" w:type="dxa"/>
          </w:tcPr>
          <w:p>
            <w:pPr>
              <w:pStyle w:val="Compact"/>
              <w:spacing w:before="20" w:after="20"/>
              <w:jc w:val="left"/>
            </w:pPr>
            <w:r>
              <w:rPr>
                <w:sz w:val="18"/>
              </w:rPr>
              <w:t>Exemple ou consigne de remplissage</w:t>
            </w:r>
          </w:p>
        </w:tc>
      </w:tr>
      <w:tr>
        <w:trPr>
          <w:cantSplit w:val="true"/>
        </w:trPr>
        <w:tc>
          <w:tcPr>
            <w:tcW w:w="2924" w:type="dxa"/>
            <w:shd w:val="clear" w:color="auto" w:fill="EEF2F6"/>
          </w:tcPr>
          <w:p>
            <w:pPr>
              <w:pStyle w:val="Compact"/>
              <w:spacing w:before="20" w:after="20"/>
              <w:jc w:val="left"/>
            </w:pPr>
            <w:r>
              <w:rPr>
                <w:bCs/>
                <w:b/>
                <w:sz w:val="18"/>
              </w:rPr>
              <w:t>Texte en gras</w:t>
            </w:r>
          </w:p>
        </w:tc>
        <w:tc>
          <w:tcPr>
            <w:tcW w:w="6487" w:type="dxa"/>
            <w:shd w:val="clear" w:color="auto" w:fill="EEF2F6"/>
          </w:tcPr>
          <w:p>
            <w:pPr>
              <w:pStyle w:val="Compact"/>
              <w:spacing w:before="20" w:after="20"/>
              <w:jc w:val="left"/>
            </w:pPr>
            <w:r>
              <w:rPr>
                <w:sz w:val="18"/>
              </w:rPr>
              <w:t>Notion essentielle du paragraphe</w:t>
            </w:r>
          </w:p>
        </w:tc>
      </w:tr>
      <w:tr>
        <w:trPr>
          <w:cantSplit w:val="true"/>
        </w:trPr>
        <w:tc>
          <w:tcPr>
            <w:tcW w:w="2924" w:type="dxa"/>
          </w:tcPr>
          <w:p>
            <w:pPr>
              <w:pStyle w:val="Compact"/>
              <w:spacing w:before="20" w:after="20"/>
              <w:jc w:val="left"/>
            </w:pPr>
            <w:r>
              <w:rPr>
                <w:sz w:val="18"/>
              </w:rPr>
              <w:t>&gt; Bloc de citation</w:t>
            </w:r>
          </w:p>
        </w:tc>
        <w:tc>
          <w:tcPr>
            <w:tcW w:w="6487" w:type="dxa"/>
          </w:tcPr>
          <w:p>
            <w:pPr>
              <w:pStyle w:val="Compact"/>
              <w:spacing w:before="20" w:after="20"/>
              <w:jc w:val="left"/>
            </w:pPr>
            <w:r>
              <w:rPr>
                <w:sz w:val="18"/>
              </w:rPr>
              <w:t>Règle ou principe à retenir</w:t>
            </w:r>
          </w:p>
        </w:tc>
      </w:tr>
      <w:tr>
        <w:trPr>
          <w:cantSplit w:val="true"/>
        </w:trPr>
        <w:tc>
          <w:tcPr>
            <w:tcW w:w="2924" w:type="dxa"/>
            <w:shd w:val="clear" w:color="auto" w:fill="EEF2F6"/>
          </w:tcPr>
          <w:p>
            <w:pPr>
              <w:pStyle w:val="Compact"/>
              <w:spacing w:before="20" w:after="20"/>
              <w:jc w:val="left"/>
            </w:pPr>
            <w:r>
              <w:rPr>
                <w:sz w:val="18"/>
              </w:rPr>
              <w:t>⚠️ Point d’attention</w:t>
            </w:r>
          </w:p>
        </w:tc>
        <w:tc>
          <w:tcPr>
            <w:tcW w:w="6487" w:type="dxa"/>
            <w:shd w:val="clear" w:color="auto" w:fill="EEF2F6"/>
          </w:tcPr>
          <w:p>
            <w:pPr>
              <w:pStyle w:val="Compact"/>
              <w:spacing w:before="20" w:after="20"/>
              <w:jc w:val="left"/>
            </w:pPr>
            <w:r>
              <w:rPr>
                <w:sz w:val="18"/>
              </w:rPr>
              <w:t>Risque ou limite à connaître</w:t>
            </w:r>
          </w:p>
        </w:tc>
      </w:tr>
    </w:tbl>
    <w:bookmarkEnd w:id="27"/>
    <w:bookmarkStart w:id="28" w:name="notions-et-sens-retenus"/>
    <w:p>
      <w:pPr>
        <w:pStyle w:val="Heading2"/>
      </w:pPr>
      <w:r>
        <w:t>1.2 Notions et sens retenus</w:t>
      </w:r>
    </w:p>
    <w:p>
      <w:pPr>
        <w:keepNext/>
        <w:pStyle w:val="FirstParagraph"/>
      </w:pPr>
      <w:r>
        <w:t>Le vocabulaire de la continuité varie d’une organisation à l’autre. Ce modèle suit le</w:t>
      </w:r>
      <w:r>
        <w:t xml:space="preserve"> </w:t>
      </w:r>
      <w:r>
        <w:rPr>
          <w:bCs/>
          <w:b/>
        </w:rPr>
        <w:t>Référentiel Cyber France (ReCyF)</w:t>
      </w:r>
      <w:r>
        <w:t xml:space="preserve"> </w:t>
      </w:r>
      <w:r>
        <w:t>de l’ANSSI, lui-même aligné sur</w:t>
      </w:r>
      <w:r>
        <w:t xml:space="preserve"> </w:t>
      </w:r>
      <w:r>
        <w:rPr>
          <w:bCs/>
          <w:b/>
        </w:rPr>
        <w:t>ISO 22300:2025</w:t>
      </w:r>
      <w:r>
        <w:t>. Si</w:t>
      </w:r>
      <w:r>
        <w:t xml:space="preserve"> </w:t>
      </w:r>
      <w:r>
        <w:rPr>
          <w:rStyle w:val="VerbatimChar"/>
          <w:b/>
          <w:color w:val="8A5A00"/>
        </w:rPr>
        <w:t>{{ORGANISATION}}</w:t>
      </w:r>
      <w:r>
        <w:t xml:space="preserve"> </w:t>
      </w:r>
      <w:r>
        <w:t>emploie déjà d’autres termes, elle l’indique ici, une fois pour toutes.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057"/>
        <w:gridCol w:w="992"/>
        <w:gridCol w:w="3063"/>
        <w:gridCol w:w="1440"/>
        <w:gridCol w:w="1859"/>
      </w:tblGrid>
      <w:tr>
        <w:trPr>
          <w:tblHeader w:val="true"/>
          <w:cantSplit w:val="true"/>
          <w:tblHeader w:val="true"/>
        </w:trPr>
        <w:tc>
          <w:tcPr>
            <w:tcW w:w="2057" w:type="dxa"/>
            <w:shd w:val="clear" w:color="auto" w:fill="1F3A5F"/>
          </w:tcPr>
          <w:p>
            <w:pPr>
              <w:pStyle w:val="Compact"/>
              <w:spacing w:before="20" w:after="20"/>
              <w:jc w:val="left"/>
            </w:pPr>
            <w:r>
              <w:rPr>
                <w:b/>
                <w:color w:val="FFFFFF"/>
                <w:sz w:val="18"/>
              </w:rPr>
              <w:t>Notion</w:t>
            </w:r>
          </w:p>
        </w:tc>
        <w:tc>
          <w:tcPr>
            <w:tcW w:w="992" w:type="dxa"/>
            <w:shd w:val="clear" w:color="auto" w:fill="1F3A5F"/>
          </w:tcPr>
          <w:p>
            <w:pPr>
              <w:pStyle w:val="Compact"/>
              <w:spacing w:before="20" w:after="20"/>
              <w:jc w:val="left"/>
            </w:pPr>
            <w:r>
              <w:rPr>
                <w:b/>
                <w:color w:val="FFFFFF"/>
                <w:sz w:val="18"/>
              </w:rPr>
              <w:t>Sigle</w:t>
            </w:r>
          </w:p>
        </w:tc>
        <w:tc>
          <w:tcPr>
            <w:tcW w:w="3063" w:type="dxa"/>
            <w:shd w:val="clear" w:color="auto" w:fill="1F3A5F"/>
          </w:tcPr>
          <w:p>
            <w:pPr>
              <w:pStyle w:val="Compact"/>
              <w:spacing w:before="20" w:after="20"/>
              <w:jc w:val="left"/>
            </w:pPr>
            <w:r>
              <w:rPr>
                <w:b/>
                <w:color w:val="FFFFFF"/>
                <w:sz w:val="18"/>
              </w:rPr>
              <w:t>Définition retenue</w:t>
            </w:r>
          </w:p>
        </w:tc>
        <w:tc>
          <w:tcPr>
            <w:tcW w:w="1440" w:type="dxa"/>
            <w:shd w:val="clear" w:color="auto" w:fill="1F3A5F"/>
          </w:tcPr>
          <w:p>
            <w:pPr>
              <w:pStyle w:val="Compact"/>
              <w:spacing w:before="20" w:after="20"/>
              <w:jc w:val="left"/>
            </w:pPr>
            <w:r>
              <w:rPr>
                <w:b/>
                <w:color w:val="FFFFFF"/>
                <w:sz w:val="18"/>
              </w:rPr>
              <w:t>Fixé par</w:t>
            </w:r>
          </w:p>
        </w:tc>
        <w:tc>
          <w:tcPr>
            <w:tcW w:w="1859" w:type="dxa"/>
            <w:shd w:val="clear" w:color="auto" w:fill="1F3A5F"/>
          </w:tcPr>
          <w:p>
            <w:pPr>
              <w:pStyle w:val="Compact"/>
              <w:spacing w:before="20" w:after="20"/>
              <w:jc w:val="left"/>
            </w:pPr>
            <w:r>
              <w:rPr>
                <w:b/>
                <w:color w:val="FFFFFF"/>
                <w:sz w:val="18"/>
              </w:rPr>
              <w:t>Relation</w:t>
            </w:r>
          </w:p>
        </w:tc>
      </w:tr>
      <w:tr>
        <w:trPr>
          <w:cantSplit w:val="true"/>
        </w:trPr>
        <w:tc>
          <w:tcPr>
            <w:tcW w:w="2057" w:type="dxa"/>
          </w:tcPr>
          <w:p>
            <w:pPr>
              <w:pStyle w:val="Compact"/>
              <w:spacing w:before="20" w:after="20"/>
              <w:jc w:val="left"/>
            </w:pPr>
            <w:r>
              <w:rPr>
                <w:bCs/>
                <w:b/>
                <w:sz w:val="18"/>
              </w:rPr>
              <w:t>Durée maximale d’interruption admissible</w:t>
            </w:r>
          </w:p>
        </w:tc>
        <w:tc>
          <w:tcPr>
            <w:tcW w:w="992" w:type="dxa"/>
          </w:tcPr>
          <w:p>
            <w:pPr>
              <w:pStyle w:val="Compact"/>
              <w:spacing w:before="20" w:after="20"/>
              <w:jc w:val="left"/>
            </w:pPr>
            <w:r>
              <w:rPr>
                <w:sz w:val="18"/>
              </w:rPr>
              <w:t>DMIA (MTPD)</w:t>
            </w:r>
          </w:p>
        </w:tc>
        <w:tc>
          <w:tcPr>
            <w:tcW w:w="3063" w:type="dxa"/>
          </w:tcPr>
          <w:p>
            <w:pPr>
              <w:pStyle w:val="Compact"/>
              <w:spacing w:before="20" w:after="20"/>
              <w:jc w:val="left"/>
            </w:pPr>
            <w:r>
              <w:rPr>
                <w:sz w:val="18"/>
              </w:rPr>
              <w:t>Durée au-delà de laquelle les conséquences de l’interruption d’un service ou d’une activité deviennent inacceptables pour</w:t>
            </w:r>
            <w:r>
              <w:rPr>
                <w:sz w:val="18"/>
              </w:rPr>
              <w:t xml:space="preserve"> </w:t>
            </w:r>
            <w:r>
              <w:rPr>
                <w:rStyle w:val="VerbatimChar"/>
                <w:sz w:val="18"/>
                <w:b/>
                <w:color w:val="8A5A00"/>
              </w:rPr>
              <w:t>{{ORGANISATION}}</w:t>
            </w:r>
          </w:p>
        </w:tc>
        <w:tc>
          <w:tcPr>
            <w:tcW w:w="1440" w:type="dxa"/>
          </w:tcPr>
          <w:p>
            <w:pPr>
              <w:pStyle w:val="Compact"/>
              <w:spacing w:before="20" w:after="20"/>
              <w:jc w:val="left"/>
            </w:pPr>
            <w:r>
              <w:rPr>
                <w:sz w:val="18"/>
              </w:rPr>
              <w:t>Métier, validée par la direction</w:t>
            </w:r>
          </w:p>
        </w:tc>
        <w:tc>
          <w:tcPr>
            <w:tcW w:w="1859" w:type="dxa"/>
          </w:tcPr>
          <w:p>
            <w:pPr>
              <w:pStyle w:val="Compact"/>
              <w:spacing w:before="20" w:after="20"/>
              <w:jc w:val="left"/>
            </w:pPr>
            <w:r>
              <w:rPr>
                <w:sz w:val="18"/>
              </w:rPr>
              <w:t>Borne supérieure</w:t>
            </w:r>
          </w:p>
        </w:tc>
      </w:tr>
      <w:tr>
        <w:trPr>
          <w:cantSplit w:val="true"/>
        </w:trPr>
        <w:tc>
          <w:tcPr>
            <w:tcW w:w="2057" w:type="dxa"/>
            <w:shd w:val="clear" w:color="auto" w:fill="EEF2F6"/>
          </w:tcPr>
          <w:p>
            <w:pPr>
              <w:pStyle w:val="Compact"/>
              <w:spacing w:before="20" w:after="20"/>
              <w:jc w:val="left"/>
            </w:pPr>
            <w:r>
              <w:rPr>
                <w:bCs/>
                <w:b/>
                <w:sz w:val="18"/>
              </w:rPr>
              <w:t>Objectif de délai de reprise</w:t>
            </w:r>
          </w:p>
        </w:tc>
        <w:tc>
          <w:tcPr>
            <w:tcW w:w="992" w:type="dxa"/>
            <w:shd w:val="clear" w:color="auto" w:fill="EEF2F6"/>
          </w:tcPr>
          <w:p>
            <w:pPr>
              <w:pStyle w:val="Compact"/>
              <w:spacing w:before="20" w:after="20"/>
              <w:jc w:val="left"/>
            </w:pPr>
            <w:r>
              <w:rPr>
                <w:sz w:val="18"/>
              </w:rPr>
              <w:t>RTO</w:t>
            </w:r>
          </w:p>
        </w:tc>
        <w:tc>
          <w:tcPr>
            <w:tcW w:w="3063" w:type="dxa"/>
            <w:shd w:val="clear" w:color="auto" w:fill="EEF2F6"/>
          </w:tcPr>
          <w:p>
            <w:pPr>
              <w:pStyle w:val="Compact"/>
              <w:spacing w:before="20" w:after="20"/>
              <w:jc w:val="left"/>
            </w:pPr>
            <w:r>
              <w:rPr>
                <w:sz w:val="18"/>
              </w:rPr>
              <w:t>Délai, compté à partir de l’incident, pour reprendre l’activité au moins à son niveau minimal</w:t>
            </w:r>
          </w:p>
        </w:tc>
        <w:tc>
          <w:tcPr>
            <w:tcW w:w="1440" w:type="dxa"/>
            <w:shd w:val="clear" w:color="auto" w:fill="EEF2F6"/>
          </w:tcPr>
          <w:p>
            <w:pPr>
              <w:pStyle w:val="Compact"/>
              <w:spacing w:before="20" w:after="20"/>
              <w:jc w:val="left"/>
            </w:pPr>
            <w:r>
              <w:rPr>
                <w:sz w:val="18"/>
              </w:rPr>
              <w:t>Métier</w:t>
            </w:r>
          </w:p>
        </w:tc>
        <w:tc>
          <w:tcPr>
            <w:tcW w:w="1859" w:type="dxa"/>
            <w:shd w:val="clear" w:color="auto" w:fill="EEF2F6"/>
          </w:tcPr>
          <w:p>
            <w:pPr>
              <w:pStyle w:val="Compact"/>
              <w:spacing w:before="20" w:after="20"/>
              <w:jc w:val="left"/>
            </w:pPr>
            <w:r>
              <w:rPr>
                <w:sz w:val="18"/>
              </w:rPr>
              <w:t>Fixé à l’intérieur de la DMIA, avec une marge (§3.6)</w:t>
            </w:r>
          </w:p>
        </w:tc>
      </w:tr>
      <w:tr>
        <w:trPr>
          <w:cantSplit w:val="true"/>
        </w:trPr>
        <w:tc>
          <w:tcPr>
            <w:tcW w:w="2057" w:type="dxa"/>
          </w:tcPr>
          <w:p>
            <w:pPr>
              <w:pStyle w:val="Compact"/>
              <w:spacing w:before="20" w:after="20"/>
              <w:jc w:val="left"/>
            </w:pPr>
            <w:r>
              <w:rPr>
                <w:bCs/>
                <w:b/>
                <w:sz w:val="18"/>
              </w:rPr>
              <w:t>Point de rétablissement des données</w:t>
            </w:r>
          </w:p>
        </w:tc>
        <w:tc>
          <w:tcPr>
            <w:tcW w:w="992" w:type="dxa"/>
          </w:tcPr>
          <w:p>
            <w:pPr>
              <w:pStyle w:val="Compact"/>
              <w:spacing w:before="20" w:after="20"/>
              <w:jc w:val="left"/>
            </w:pPr>
            <w:r>
              <w:rPr>
                <w:sz w:val="18"/>
              </w:rPr>
              <w:t>PRD (RPO)</w:t>
            </w:r>
          </w:p>
        </w:tc>
        <w:tc>
          <w:tcPr>
            <w:tcW w:w="3063" w:type="dxa"/>
          </w:tcPr>
          <w:p>
            <w:pPr>
              <w:pStyle w:val="Compact"/>
              <w:spacing w:before="20" w:after="20"/>
              <w:jc w:val="left"/>
            </w:pPr>
            <w:r>
              <w:rPr>
                <w:sz w:val="18"/>
              </w:rPr>
              <w:t>Quantité de travail ou de données, exprimée en temps, dont la perte reste acceptable</w:t>
            </w:r>
          </w:p>
        </w:tc>
        <w:tc>
          <w:tcPr>
            <w:tcW w:w="1440" w:type="dxa"/>
          </w:tcPr>
          <w:p>
            <w:pPr>
              <w:pStyle w:val="Compact"/>
              <w:spacing w:before="20" w:after="20"/>
              <w:jc w:val="left"/>
            </w:pPr>
            <w:r>
              <w:rPr>
                <w:sz w:val="18"/>
              </w:rPr>
              <w:t>Métier</w:t>
            </w:r>
          </w:p>
        </w:tc>
        <w:tc>
          <w:tcPr>
            <w:tcW w:w="1859" w:type="dxa"/>
          </w:tcPr>
          <w:p>
            <w:pPr>
              <w:pStyle w:val="Compact"/>
              <w:spacing w:before="20" w:after="20"/>
              <w:jc w:val="left"/>
            </w:pPr>
            <w:r>
              <w:rPr>
                <w:sz w:val="18"/>
              </w:rPr>
              <w:t>Indépendant du délai de reprise</w:t>
            </w:r>
          </w:p>
        </w:tc>
      </w:tr>
      <w:tr>
        <w:trPr>
          <w:cantSplit w:val="true"/>
        </w:trPr>
        <w:tc>
          <w:tcPr>
            <w:tcW w:w="2057" w:type="dxa"/>
            <w:shd w:val="clear" w:color="auto" w:fill="EEF2F6"/>
          </w:tcPr>
          <w:p>
            <w:pPr>
              <w:pStyle w:val="Compact"/>
              <w:spacing w:before="20" w:after="20"/>
              <w:jc w:val="left"/>
            </w:pPr>
            <w:r>
              <w:rPr>
                <w:bCs/>
                <w:b/>
                <w:sz w:val="18"/>
              </w:rPr>
              <w:t>Niveau minimal de continuité</w:t>
            </w:r>
          </w:p>
        </w:tc>
        <w:tc>
          <w:tcPr>
            <w:tcW w:w="992" w:type="dxa"/>
            <w:shd w:val="clear" w:color="auto" w:fill="EEF2F6"/>
          </w:tcPr>
          <w:p>
            <w:pPr>
              <w:pStyle w:val="Compact"/>
              <w:spacing w:before="20" w:after="20"/>
              <w:jc w:val="left"/>
            </w:pPr>
            <w:r>
              <w:rPr>
                <w:sz w:val="18"/>
              </w:rPr>
              <w:t>MBCO</w:t>
            </w:r>
          </w:p>
        </w:tc>
        <w:tc>
          <w:tcPr>
            <w:tcW w:w="3063" w:type="dxa"/>
            <w:shd w:val="clear" w:color="auto" w:fill="EEF2F6"/>
          </w:tcPr>
          <w:p>
            <w:pPr>
              <w:pStyle w:val="Compact"/>
              <w:spacing w:before="20" w:after="20"/>
              <w:jc w:val="left"/>
            </w:pPr>
            <w:r>
              <w:rPr>
                <w:sz w:val="18"/>
              </w:rPr>
              <w:t>Ce que l’activité doit assurer en mode dégradé (volume, délai, qualité)</w:t>
            </w:r>
          </w:p>
        </w:tc>
        <w:tc>
          <w:tcPr>
            <w:tcW w:w="1440" w:type="dxa"/>
            <w:shd w:val="clear" w:color="auto" w:fill="EEF2F6"/>
          </w:tcPr>
          <w:p>
            <w:pPr>
              <w:pStyle w:val="Compact"/>
              <w:spacing w:before="20" w:after="20"/>
              <w:jc w:val="left"/>
            </w:pPr>
            <w:r>
              <w:rPr>
                <w:sz w:val="18"/>
              </w:rPr>
              <w:t>Métier</w:t>
            </w:r>
          </w:p>
        </w:tc>
        <w:tc>
          <w:tcPr>
            <w:tcW w:w="1859" w:type="dxa"/>
            <w:shd w:val="clear" w:color="auto" w:fill="EEF2F6"/>
          </w:tcPr>
          <w:p>
            <w:pPr>
              <w:pStyle w:val="Compact"/>
              <w:spacing w:before="20" w:after="20"/>
              <w:jc w:val="left"/>
            </w:pPr>
            <w:r>
              <w:rPr>
                <w:sz w:val="18"/>
              </w:rPr>
              <w:t>Définit ce que « reprendre » veut dire</w:t>
            </w:r>
          </w:p>
        </w:tc>
      </w:tr>
      <w:tr>
        <w:trPr>
          <w:cantSplit w:val="true"/>
        </w:trPr>
        <w:tc>
          <w:tcPr>
            <w:tcW w:w="2057" w:type="dxa"/>
          </w:tcPr>
          <w:p>
            <w:pPr>
              <w:pStyle w:val="Compact"/>
              <w:spacing w:before="20" w:after="20"/>
              <w:jc w:val="left"/>
            </w:pPr>
            <w:r>
              <w:rPr>
                <w:bCs/>
                <w:b/>
                <w:sz w:val="18"/>
              </w:rPr>
              <w:t>Période critique</w:t>
            </w:r>
          </w:p>
        </w:tc>
        <w:tc>
          <w:tcPr>
            <w:tcW w:w="992" w:type="dxa"/>
          </w:tcPr>
          <w:p>
            <w:pPr>
              <w:pStyle w:val="Compact"/>
              <w:spacing w:before="20" w:after="20"/>
              <w:jc w:val="left"/>
            </w:pPr>
            <w:r>
              <w:rPr>
                <w:sz w:val="18"/>
              </w:rPr>
              <w:t>—</w:t>
            </w:r>
          </w:p>
        </w:tc>
        <w:tc>
          <w:tcPr>
            <w:tcW w:w="3063" w:type="dxa"/>
          </w:tcPr>
          <w:p>
            <w:pPr>
              <w:pStyle w:val="Compact"/>
              <w:spacing w:before="20" w:after="20"/>
              <w:jc w:val="left"/>
            </w:pPr>
            <w:r>
              <w:rPr>
                <w:sz w:val="18"/>
              </w:rPr>
              <w:t>Moment où les seuils se resserrent (clôture, pic saisonnier, échéance réglementaire)</w:t>
            </w:r>
          </w:p>
        </w:tc>
        <w:tc>
          <w:tcPr>
            <w:tcW w:w="1440" w:type="dxa"/>
          </w:tcPr>
          <w:p>
            <w:pPr>
              <w:pStyle w:val="Compact"/>
              <w:spacing w:before="20" w:after="20"/>
              <w:jc w:val="left"/>
            </w:pPr>
            <w:r>
              <w:rPr>
                <w:sz w:val="18"/>
              </w:rPr>
              <w:t>Métier</w:t>
            </w:r>
          </w:p>
        </w:tc>
        <w:tc>
          <w:tcPr>
            <w:tcW w:w="1859" w:type="dxa"/>
          </w:tcPr>
          <w:p>
            <w:pPr>
              <w:pStyle w:val="Compact"/>
              <w:spacing w:before="20" w:after="20"/>
              <w:jc w:val="left"/>
            </w:pPr>
            <w:r>
              <w:rPr>
                <w:sz w:val="18"/>
              </w:rPr>
              <w:t>Base de l’hypothèse du « moment le plus défavorable »</w:t>
            </w:r>
          </w:p>
        </w:tc>
      </w:tr>
      <w:tr>
        <w:trPr>
          <w:cantSplit w:val="true"/>
        </w:trPr>
        <w:tc>
          <w:tcPr>
            <w:tcW w:w="2057" w:type="dxa"/>
            <w:shd w:val="clear" w:color="auto" w:fill="EEF2F6"/>
          </w:tcPr>
          <w:p>
            <w:pPr>
              <w:pStyle w:val="Compact"/>
              <w:spacing w:before="20" w:after="20"/>
              <w:jc w:val="left"/>
            </w:pPr>
            <w:r>
              <w:rPr>
                <w:bCs/>
                <w:b/>
                <w:sz w:val="18"/>
              </w:rPr>
              <w:t>Point de concentration</w:t>
            </w:r>
          </w:p>
        </w:tc>
        <w:tc>
          <w:tcPr>
            <w:tcW w:w="992" w:type="dxa"/>
            <w:shd w:val="clear" w:color="auto" w:fill="EEF2F6"/>
          </w:tcPr>
          <w:p>
            <w:pPr>
              <w:pStyle w:val="Compact"/>
              <w:spacing w:before="20" w:after="20"/>
              <w:jc w:val="left"/>
            </w:pPr>
            <w:r>
              <w:rPr>
                <w:sz w:val="18"/>
              </w:rPr>
              <w:t>—</w:t>
            </w:r>
          </w:p>
        </w:tc>
        <w:tc>
          <w:tcPr>
            <w:tcW w:w="3063" w:type="dxa"/>
            <w:shd w:val="clear" w:color="auto" w:fill="EEF2F6"/>
          </w:tcPr>
          <w:p>
            <w:pPr>
              <w:pStyle w:val="Compact"/>
              <w:spacing w:before="20" w:after="20"/>
              <w:jc w:val="left"/>
            </w:pPr>
            <w:r>
              <w:rPr>
                <w:sz w:val="18"/>
              </w:rPr>
              <w:t>Ressource utilisée par plusieurs activités prioritaires, sans solution de rechange</w:t>
            </w:r>
          </w:p>
        </w:tc>
        <w:tc>
          <w:tcPr>
            <w:tcW w:w="1440" w:type="dxa"/>
            <w:shd w:val="clear" w:color="auto" w:fill="EEF2F6"/>
          </w:tcPr>
          <w:p>
            <w:pPr>
              <w:pStyle w:val="Compact"/>
              <w:spacing w:before="20" w:after="20"/>
              <w:jc w:val="left"/>
            </w:pPr>
            <w:r>
              <w:rPr>
                <w:sz w:val="18"/>
              </w:rPr>
              <w:t>Analyse</w:t>
            </w:r>
          </w:p>
        </w:tc>
        <w:tc>
          <w:tcPr>
            <w:tcW w:w="1859" w:type="dxa"/>
            <w:shd w:val="clear" w:color="auto" w:fill="EEF2F6"/>
          </w:tcPr>
          <w:p>
            <w:pPr>
              <w:pStyle w:val="Compact"/>
              <w:spacing w:before="20" w:after="20"/>
              <w:jc w:val="left"/>
            </w:pPr>
            <w:r>
              <w:rPr>
                <w:sz w:val="18"/>
              </w:rPr>
              <w:t>Résultat remonté à la direction</w:t>
            </w:r>
          </w:p>
        </w:tc>
      </w:tr>
    </w:tbl>
    <w:p>
      <w:pPr>
        <w:pStyle w:val="BodyText"/>
      </w:pPr>
      <w:r>
        <w:t>⚠️</w:t>
      </w:r>
      <w:r>
        <w:t xml:space="preserve"> </w:t>
      </w:r>
      <w:r>
        <w:rPr>
          <w:bCs/>
          <w:b/>
        </w:rPr>
        <w:t>Point d’attention</w:t>
      </w:r>
      <w:r>
        <w:t xml:space="preserve"> </w:t>
      </w:r>
      <w:r>
        <w:t>— En France, le sigle DMIA a longtemps été employé aussi pour désigner le délai de reprise promis par l’informatique. Dans ce document, la DMIA est</w:t>
      </w:r>
      <w:r>
        <w:t xml:space="preserve"> </w:t>
      </w:r>
      <w:r>
        <w:rPr>
          <w:bCs/>
          <w:b/>
        </w:rPr>
        <w:t>toujours</w:t>
      </w:r>
      <w:r>
        <w:t xml:space="preserve"> </w:t>
      </w:r>
      <w:r>
        <w:t>la durée tolérable. Le délai de reprise est l’objectif de délai de reprise (RTO). Les engagements de restauration de la DSI, qui en découlent, relèvent de la stratégie de sauvegarde et du plan de continuité informatique.</w:t>
      </w:r>
    </w:p>
    <w:p>
      <w:r>
        <w:pict>
          <v:rect style="width:0;height:1.5pt" o:hralign="center" o:hrstd="t" o:hr="t"/>
        </w:pict>
      </w:r>
    </w:p>
    <w:bookmarkEnd w:id="28"/>
    <w:bookmarkEnd w:id="29"/>
    <w:bookmarkStart w:id="34" w:name="cadrage"/>
    <w:p>
      <w:pPr>
        <w:pStyle w:val="Heading1"/>
      </w:pPr>
      <w:r>
        <w:t>2. Cadrage</w:t>
      </w:r>
    </w:p>
    <w:bookmarkStart w:id="30" w:name="commanditaire-et-équipe"/>
    <w:p>
      <w:pPr>
        <w:keepNext/>
        <w:pStyle w:val="Heading2"/>
      </w:pPr>
      <w:r>
        <w:t>2.1 Commanditaire et équipe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010"/>
        <w:gridCol w:w="2598"/>
        <w:gridCol w:w="4803"/>
      </w:tblGrid>
      <w:tr>
        <w:trPr>
          <w:tblHeader w:val="true"/>
          <w:cantSplit w:val="true"/>
          <w:tblHeader w:val="true"/>
        </w:trPr>
        <w:tc>
          <w:tcPr>
            <w:tcW w:w="2010" w:type="dxa"/>
            <w:shd w:val="clear" w:color="auto" w:fill="1F3A5F"/>
          </w:tcPr>
          <w:p>
            <w:pPr>
              <w:pStyle w:val="Compact"/>
              <w:spacing w:before="20" w:after="20"/>
              <w:jc w:val="left"/>
            </w:pPr>
            <w:r>
              <w:rPr>
                <w:b/>
                <w:color w:val="FFFFFF"/>
                <w:sz w:val="18"/>
              </w:rPr>
              <w:t>Rôle</w:t>
            </w:r>
          </w:p>
        </w:tc>
        <w:tc>
          <w:tcPr>
            <w:tcW w:w="2598" w:type="dxa"/>
            <w:shd w:val="clear" w:color="auto" w:fill="1F3A5F"/>
          </w:tcPr>
          <w:p>
            <w:pPr>
              <w:pStyle w:val="Compact"/>
              <w:spacing w:before="20" w:after="20"/>
              <w:jc w:val="left"/>
            </w:pPr>
            <w:r>
              <w:rPr>
                <w:b/>
                <w:color w:val="FFFFFF"/>
                <w:sz w:val="18"/>
              </w:rPr>
              <w:t>Titulaire</w:t>
            </w:r>
          </w:p>
        </w:tc>
        <w:tc>
          <w:tcPr>
            <w:tcW w:w="4803" w:type="dxa"/>
            <w:shd w:val="clear" w:color="auto" w:fill="1F3A5F"/>
          </w:tcPr>
          <w:p>
            <w:pPr>
              <w:pStyle w:val="Compact"/>
              <w:spacing w:before="20" w:after="20"/>
              <w:jc w:val="left"/>
            </w:pPr>
            <w:r>
              <w:rPr>
                <w:b/>
                <w:color w:val="FFFFFF"/>
                <w:sz w:val="18"/>
              </w:rPr>
              <w:t>Mission</w:t>
            </w:r>
          </w:p>
        </w:tc>
      </w:tr>
      <w:tr>
        <w:trPr>
          <w:cantSplit w:val="true"/>
        </w:trPr>
        <w:tc>
          <w:tcPr>
            <w:tcW w:w="2010" w:type="dxa"/>
          </w:tcPr>
          <w:p>
            <w:pPr>
              <w:pStyle w:val="Compact"/>
              <w:spacing w:before="20" w:after="20"/>
              <w:jc w:val="left"/>
            </w:pPr>
            <w:r>
              <w:rPr>
                <w:sz w:val="18"/>
              </w:rPr>
              <w:t>Commanditaire</w:t>
            </w:r>
          </w:p>
        </w:tc>
        <w:tc>
          <w:tcPr>
            <w:tcW w:w="2598" w:type="dxa"/>
          </w:tcPr>
          <w:p>
            <w:pPr>
              <w:pStyle w:val="Compact"/>
              <w:spacing w:before="20" w:after="20"/>
              <w:jc w:val="left"/>
            </w:pPr>
            <w:r>
              <w:rPr>
                <w:rStyle w:val="VerbatimChar"/>
                <w:sz w:val="18"/>
                <w:b/>
                <w:color w:val="8A5A00"/>
              </w:rPr>
              <w:t>{{FONCTION_COMMANDITAIRE}}</w:t>
            </w:r>
          </w:p>
        </w:tc>
        <w:tc>
          <w:tcPr>
            <w:tcW w:w="4803" w:type="dxa"/>
          </w:tcPr>
          <w:p>
            <w:pPr>
              <w:pStyle w:val="Compact"/>
              <w:spacing w:before="20" w:after="20"/>
              <w:jc w:val="left"/>
            </w:pPr>
            <w:r>
              <w:rPr>
                <w:sz w:val="18"/>
              </w:rPr>
              <w:t>Rend les interlocuteurs disponibles, valide la grille, porte les résultats devant la direction</w:t>
            </w:r>
          </w:p>
        </w:tc>
      </w:tr>
      <w:tr>
        <w:trPr>
          <w:cantSplit w:val="true"/>
        </w:trPr>
        <w:tc>
          <w:tcPr>
            <w:tcW w:w="2010" w:type="dxa"/>
            <w:shd w:val="clear" w:color="auto" w:fill="EEF2F6"/>
          </w:tcPr>
          <w:p>
            <w:pPr>
              <w:pStyle w:val="Compact"/>
              <w:spacing w:before="20" w:after="20"/>
              <w:jc w:val="left"/>
            </w:pPr>
            <w:r>
              <w:rPr>
                <w:sz w:val="18"/>
              </w:rPr>
              <w:t>Responsable de l’analyse</w:t>
            </w:r>
          </w:p>
        </w:tc>
        <w:tc>
          <w:tcPr>
            <w:tcW w:w="2598" w:type="dxa"/>
            <w:shd w:val="clear" w:color="auto" w:fill="EEF2F6"/>
          </w:tcPr>
          <w:p>
            <w:pPr>
              <w:pStyle w:val="Compact"/>
              <w:spacing w:before="20" w:after="20"/>
              <w:jc w:val="left"/>
            </w:pPr>
            <w:r>
              <w:rPr>
                <w:rStyle w:val="VerbatimChar"/>
                <w:sz w:val="18"/>
                <w:b/>
                <w:color w:val="8A5A00"/>
              </w:rPr>
              <w:t>{{FONCTION_RESPONSABLE_CONTINUITE}}</w:t>
            </w:r>
          </w:p>
        </w:tc>
        <w:tc>
          <w:tcPr>
            <w:tcW w:w="4803" w:type="dxa"/>
            <w:shd w:val="clear" w:color="auto" w:fill="EEF2F6"/>
          </w:tcPr>
          <w:p>
            <w:pPr>
              <w:pStyle w:val="Compact"/>
              <w:spacing w:before="20" w:after="20"/>
              <w:jc w:val="left"/>
            </w:pPr>
            <w:r>
              <w:rPr>
                <w:sz w:val="18"/>
              </w:rPr>
              <w:t>Anime la démarche, conduit les entretiens, consolide</w:t>
            </w:r>
          </w:p>
        </w:tc>
      </w:tr>
      <w:tr>
        <w:trPr>
          <w:cantSplit w:val="true"/>
        </w:trPr>
        <w:tc>
          <w:tcPr>
            <w:tcW w:w="2010" w:type="dxa"/>
          </w:tcPr>
          <w:p>
            <w:pPr>
              <w:pStyle w:val="Compact"/>
              <w:spacing w:before="20" w:after="20"/>
              <w:jc w:val="left"/>
            </w:pPr>
            <w:r>
              <w:rPr>
                <w:sz w:val="18"/>
              </w:rPr>
              <w:t>Propriétaires métier</w:t>
            </w:r>
          </w:p>
        </w:tc>
        <w:tc>
          <w:tcPr>
            <w:tcW w:w="2598" w:type="dxa"/>
          </w:tcPr>
          <w:p>
            <w:pPr>
              <w:pStyle w:val="Compact"/>
              <w:spacing w:before="20" w:after="20"/>
              <w:jc w:val="left"/>
            </w:pPr>
            <w:r>
              <w:rPr>
                <w:rStyle w:val="VerbatimChar"/>
                <w:sz w:val="18"/>
                <w:b/>
                <w:color w:val="8A5A00"/>
              </w:rPr>
              <w:t>{{FONCTION_…}}</w:t>
            </w:r>
            <w:r>
              <w:rPr>
                <w:sz w:val="18"/>
              </w:rPr>
              <w:t xml:space="preserve"> </w:t>
            </w:r>
            <w:r>
              <w:rPr>
                <w:sz w:val="18"/>
              </w:rPr>
              <w:t>par service</w:t>
            </w:r>
          </w:p>
        </w:tc>
        <w:tc>
          <w:tcPr>
            <w:tcW w:w="4803" w:type="dxa"/>
          </w:tcPr>
          <w:p>
            <w:pPr>
              <w:pStyle w:val="Compact"/>
              <w:spacing w:before="20" w:after="20"/>
              <w:jc w:val="left"/>
            </w:pPr>
            <w:r>
              <w:rPr>
                <w:sz w:val="18"/>
              </w:rPr>
              <w:t>Fixent les seuils de leurs activités, valident leurs fiches</w:t>
            </w:r>
          </w:p>
        </w:tc>
      </w:tr>
      <w:tr>
        <w:trPr>
          <w:cantSplit w:val="true"/>
        </w:trPr>
        <w:tc>
          <w:tcPr>
            <w:tcW w:w="2010" w:type="dxa"/>
            <w:shd w:val="clear" w:color="auto" w:fill="EEF2F6"/>
          </w:tcPr>
          <w:p>
            <w:pPr>
              <w:pStyle w:val="Compact"/>
              <w:spacing w:before="20" w:after="20"/>
              <w:jc w:val="left"/>
            </w:pPr>
            <w:r>
              <w:rPr>
                <w:sz w:val="18"/>
              </w:rPr>
              <w:t>DSI</w:t>
            </w:r>
          </w:p>
        </w:tc>
        <w:tc>
          <w:tcPr>
            <w:tcW w:w="2598" w:type="dxa"/>
            <w:shd w:val="clear" w:color="auto" w:fill="EEF2F6"/>
          </w:tcPr>
          <w:p>
            <w:pPr>
              <w:pStyle w:val="Compact"/>
              <w:spacing w:before="20" w:after="20"/>
              <w:jc w:val="left"/>
            </w:pPr>
            <w:r>
              <w:rPr>
                <w:rStyle w:val="VerbatimChar"/>
                <w:sz w:val="18"/>
                <w:b/>
                <w:color w:val="8A5A00"/>
              </w:rPr>
              <w:t>{{FONCTION_DSI}}</w:t>
            </w:r>
          </w:p>
        </w:tc>
        <w:tc>
          <w:tcPr>
            <w:tcW w:w="4803" w:type="dxa"/>
            <w:shd w:val="clear" w:color="auto" w:fill="EEF2F6"/>
          </w:tcPr>
          <w:p>
            <w:pPr>
              <w:pStyle w:val="Compact"/>
              <w:spacing w:before="20" w:after="20"/>
              <w:jc w:val="left"/>
            </w:pPr>
            <w:r>
              <w:rPr>
                <w:sz w:val="18"/>
              </w:rPr>
              <w:t>Fournit le référentiel applicatif et les capacités constatées ; ne fixe aucun seuil</w:t>
            </w:r>
          </w:p>
        </w:tc>
      </w:tr>
      <w:tr>
        <w:trPr>
          <w:cantSplit w:val="true"/>
        </w:trPr>
        <w:tc>
          <w:tcPr>
            <w:tcW w:w="2010" w:type="dxa"/>
          </w:tcPr>
          <w:p>
            <w:pPr>
              <w:pStyle w:val="Compact"/>
              <w:spacing w:before="20" w:after="20"/>
              <w:jc w:val="left"/>
            </w:pPr>
            <w:r>
              <w:rPr>
                <w:sz w:val="18"/>
              </w:rPr>
              <w:t>Gestion des tiers / achats</w:t>
            </w:r>
          </w:p>
        </w:tc>
        <w:tc>
          <w:tcPr>
            <w:tcW w:w="2598" w:type="dxa"/>
          </w:tcPr>
          <w:p>
            <w:pPr>
              <w:pStyle w:val="Compact"/>
              <w:spacing w:before="20" w:after="20"/>
              <w:jc w:val="left"/>
            </w:pPr>
            <w:r>
              <w:rPr>
                <w:rStyle w:val="VerbatimChar"/>
                <w:sz w:val="18"/>
                <w:b/>
                <w:color w:val="8A5A00"/>
              </w:rPr>
              <w:t>{{FONCTION_ACHATS}}</w:t>
            </w:r>
          </w:p>
        </w:tc>
        <w:tc>
          <w:tcPr>
            <w:tcW w:w="4803" w:type="dxa"/>
          </w:tcPr>
          <w:p>
            <w:pPr>
              <w:pStyle w:val="Compact"/>
              <w:spacing w:before="20" w:after="20"/>
              <w:jc w:val="left"/>
            </w:pPr>
            <w:r>
              <w:rPr>
                <w:sz w:val="18"/>
              </w:rPr>
              <w:t>Fournit les engagements contractuels des prestataires</w:t>
            </w:r>
          </w:p>
        </w:tc>
      </w:tr>
      <w:tr>
        <w:trPr>
          <w:cantSplit w:val="true"/>
        </w:trPr>
        <w:tc>
          <w:tcPr>
            <w:tcW w:w="2010" w:type="dxa"/>
            <w:shd w:val="clear" w:color="auto" w:fill="EEF2F6"/>
          </w:tcPr>
          <w:p>
            <w:pPr>
              <w:pStyle w:val="Compact"/>
              <w:spacing w:before="20" w:after="20"/>
              <w:jc w:val="left"/>
            </w:pPr>
            <w:r>
              <w:rPr>
                <w:sz w:val="18"/>
              </w:rPr>
              <w:t>RSSI</w:t>
            </w:r>
          </w:p>
        </w:tc>
        <w:tc>
          <w:tcPr>
            <w:tcW w:w="2598" w:type="dxa"/>
            <w:shd w:val="clear" w:color="auto" w:fill="EEF2F6"/>
          </w:tcPr>
          <w:p>
            <w:pPr>
              <w:pStyle w:val="Compact"/>
              <w:spacing w:before="20" w:after="20"/>
              <w:jc w:val="left"/>
            </w:pPr>
            <w:r>
              <w:rPr>
                <w:rStyle w:val="VerbatimChar"/>
                <w:sz w:val="18"/>
                <w:b/>
                <w:color w:val="8A5A00"/>
              </w:rPr>
              <w:t>{{FONCTION_RSSI}}</w:t>
            </w:r>
          </w:p>
        </w:tc>
        <w:tc>
          <w:tcPr>
            <w:tcW w:w="4803" w:type="dxa"/>
            <w:shd w:val="clear" w:color="auto" w:fill="EEF2F6"/>
          </w:tcPr>
          <w:p>
            <w:pPr>
              <w:pStyle w:val="Compact"/>
              <w:spacing w:before="20" w:after="20"/>
              <w:jc w:val="left"/>
            </w:pPr>
            <w:r>
              <w:rPr>
                <w:sz w:val="18"/>
              </w:rPr>
              <w:t>Fait le lien avec l’analyse de risques et la classification des données</w:t>
            </w:r>
          </w:p>
        </w:tc>
      </w:tr>
    </w:tbl>
    <w:bookmarkEnd w:id="30"/>
    <w:bookmarkStart w:id="31" w:name="périmètre"/>
    <w:p>
      <w:pPr>
        <w:keepNext/>
        <w:pStyle w:val="Heading2"/>
      </w:pPr>
      <w:r>
        <w:t>2.2 Périmètre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437"/>
        <w:gridCol w:w="5974"/>
      </w:tblGrid>
      <w:tr>
        <w:trPr>
          <w:tblHeader w:val="true"/>
          <w:cantSplit w:val="true"/>
          <w:tblHeader w:val="true"/>
        </w:trPr>
        <w:tc>
          <w:tcPr>
            <w:tcW w:w="3437" w:type="dxa"/>
            <w:shd w:val="clear" w:color="auto" w:fill="1F3A5F"/>
          </w:tcPr>
          <w:p>
            <w:pPr>
              <w:pStyle w:val="Compact"/>
              <w:spacing w:before="20" w:after="20"/>
              <w:jc w:val="left"/>
            </w:pPr>
            <w:r>
              <w:rPr>
                <w:b/>
                <w:color w:val="FFFFFF"/>
                <w:sz w:val="18"/>
              </w:rPr>
              <w:t>Rubrique</w:t>
            </w:r>
          </w:p>
        </w:tc>
        <w:tc>
          <w:tcPr>
            <w:tcW w:w="5974" w:type="dxa"/>
            <w:shd w:val="clear" w:color="auto" w:fill="1F3A5F"/>
          </w:tcPr>
          <w:p>
            <w:pPr>
              <w:pStyle w:val="Compact"/>
              <w:spacing w:before="20" w:after="20"/>
              <w:jc w:val="left"/>
            </w:pPr>
            <w:r>
              <w:rPr>
                <w:b/>
                <w:color w:val="FFFFFF"/>
                <w:sz w:val="18"/>
              </w:rPr>
              <w:t>Contenu</w:t>
            </w:r>
          </w:p>
        </w:tc>
      </w:tr>
      <w:tr>
        <w:trPr>
          <w:cantSplit w:val="true"/>
        </w:trPr>
        <w:tc>
          <w:tcPr>
            <w:tcW w:w="3437" w:type="dxa"/>
          </w:tcPr>
          <w:p>
            <w:pPr>
              <w:pStyle w:val="Compact"/>
              <w:spacing w:before="20" w:after="20"/>
              <w:jc w:val="left"/>
            </w:pPr>
            <w:r>
              <w:rPr>
                <w:sz w:val="18"/>
              </w:rPr>
              <w:t>Entités couvertes</w:t>
            </w:r>
          </w:p>
        </w:tc>
        <w:tc>
          <w:tcPr>
            <w:tcW w:w="5974" w:type="dxa"/>
          </w:tcPr>
          <w:p>
            <w:pPr>
              <w:pStyle w:val="Compact"/>
              <w:spacing w:before="20" w:after="20"/>
              <w:jc w:val="left"/>
            </w:pPr>
            <w:r>
              <w:rPr>
                <w:bCs/>
                <w:b/>
                <w:sz w:val="18"/>
              </w:rPr>
              <w:t>[À COMPLÉTER]</w:t>
            </w:r>
          </w:p>
        </w:tc>
      </w:tr>
      <w:tr>
        <w:trPr>
          <w:cantSplit w:val="true"/>
        </w:trPr>
        <w:tc>
          <w:tcPr>
            <w:tcW w:w="3437" w:type="dxa"/>
            <w:shd w:val="clear" w:color="auto" w:fill="EEF2F6"/>
          </w:tcPr>
          <w:p>
            <w:pPr>
              <w:pStyle w:val="Compact"/>
              <w:spacing w:before="20" w:after="20"/>
              <w:jc w:val="left"/>
            </w:pPr>
            <w:r>
              <w:rPr>
                <w:sz w:val="18"/>
              </w:rPr>
              <w:t>Sites couverts</w:t>
            </w:r>
          </w:p>
        </w:tc>
        <w:tc>
          <w:tcPr>
            <w:tcW w:w="5974" w:type="dxa"/>
            <w:shd w:val="clear" w:color="auto" w:fill="EEF2F6"/>
          </w:tcPr>
          <w:p>
            <w:pPr>
              <w:pStyle w:val="Compact"/>
              <w:spacing w:before="20" w:after="20"/>
              <w:jc w:val="left"/>
            </w:pPr>
            <w:r>
              <w:rPr>
                <w:bCs/>
                <w:b/>
                <w:sz w:val="18"/>
              </w:rPr>
              <w:t>[À COMPLÉTER]</w:t>
            </w:r>
          </w:p>
        </w:tc>
      </w:tr>
      <w:tr>
        <w:trPr>
          <w:cantSplit w:val="true"/>
        </w:trPr>
        <w:tc>
          <w:tcPr>
            <w:tcW w:w="3437" w:type="dxa"/>
          </w:tcPr>
          <w:p>
            <w:pPr>
              <w:pStyle w:val="Compact"/>
              <w:spacing w:before="20" w:after="20"/>
              <w:jc w:val="left"/>
            </w:pPr>
            <w:r>
              <w:rPr>
                <w:sz w:val="18"/>
              </w:rPr>
              <w:t>Services couverts</w:t>
            </w:r>
          </w:p>
        </w:tc>
        <w:tc>
          <w:tcPr>
            <w:tcW w:w="5974" w:type="dxa"/>
          </w:tcPr>
          <w:p>
            <w:pPr>
              <w:pStyle w:val="Compact"/>
              <w:spacing w:before="20" w:after="20"/>
              <w:jc w:val="left"/>
            </w:pPr>
            <w:r>
              <w:rPr>
                <w:bCs/>
                <w:b/>
                <w:sz w:val="18"/>
              </w:rPr>
              <w:t>[À COMPLÉTER]</w:t>
            </w:r>
            <w:r>
              <w:rPr>
                <w:sz w:val="18"/>
              </w:rPr>
              <w:t xml:space="preserve"> </w:t>
            </w:r>
            <w:r>
              <w:rPr>
                <w:sz w:val="18"/>
              </w:rPr>
              <w:t>(tous, par défaut)</w:t>
            </w:r>
          </w:p>
        </w:tc>
      </w:tr>
      <w:tr>
        <w:trPr>
          <w:cantSplit w:val="true"/>
        </w:trPr>
        <w:tc>
          <w:tcPr>
            <w:tcW w:w="3437" w:type="dxa"/>
            <w:shd w:val="clear" w:color="auto" w:fill="EEF2F6"/>
          </w:tcPr>
          <w:p>
            <w:pPr>
              <w:pStyle w:val="Compact"/>
              <w:spacing w:before="20" w:after="20"/>
              <w:jc w:val="left"/>
            </w:pPr>
            <w:r>
              <w:rPr>
                <w:sz w:val="18"/>
              </w:rPr>
              <w:t>Exclusions</w:t>
            </w:r>
          </w:p>
        </w:tc>
        <w:tc>
          <w:tcPr>
            <w:tcW w:w="5974" w:type="dxa"/>
            <w:shd w:val="clear" w:color="auto" w:fill="EEF2F6"/>
          </w:tcPr>
          <w:p>
            <w:pPr>
              <w:pStyle w:val="Compact"/>
              <w:spacing w:before="20" w:after="20"/>
              <w:jc w:val="left"/>
            </w:pPr>
            <w:r>
              <w:rPr>
                <w:bCs/>
                <w:b/>
                <w:sz w:val="18"/>
              </w:rPr>
              <w:t>[À COMPLÉTER]</w:t>
            </w:r>
            <w:r>
              <w:rPr>
                <w:sz w:val="18"/>
              </w:rPr>
              <w:t xml:space="preserve"> </w:t>
            </w:r>
            <w:r>
              <w:rPr>
                <w:sz w:val="18"/>
              </w:rPr>
              <w:t>— chaque exclusion est écrite comme telle, avec sa raison</w:t>
            </w:r>
          </w:p>
        </w:tc>
      </w:tr>
      <w:tr>
        <w:trPr>
          <w:cantSplit w:val="true"/>
        </w:trPr>
        <w:tc>
          <w:tcPr>
            <w:tcW w:w="3437" w:type="dxa"/>
          </w:tcPr>
          <w:p>
            <w:pPr>
              <w:pStyle w:val="Compact"/>
              <w:spacing w:before="20" w:after="20"/>
              <w:jc w:val="left"/>
            </w:pPr>
            <w:r>
              <w:rPr>
                <w:sz w:val="18"/>
              </w:rPr>
              <w:t>Échéance de présentation à la direction</w:t>
            </w:r>
          </w:p>
        </w:tc>
        <w:tc>
          <w:tcPr>
            <w:tcW w:w="5974" w:type="dxa"/>
          </w:tcPr>
          <w:p>
            <w:pPr>
              <w:pStyle w:val="Compact"/>
              <w:spacing w:before="20" w:after="20"/>
              <w:jc w:val="left"/>
            </w:pPr>
            <w:r>
              <w:rPr>
                <w:rStyle w:val="VerbatimChar"/>
                <w:sz w:val="18"/>
                <w:b/>
                <w:color w:val="8A5A00"/>
              </w:rPr>
              <w:t>{{JJ/MM/AAAA}}</w:t>
            </w:r>
          </w:p>
        </w:tc>
      </w:tr>
    </w:tbl>
    <w:bookmarkEnd w:id="31"/>
    <w:bookmarkStart w:id="32" w:name="format-retenu"/>
    <w:p>
      <w:pPr>
        <w:keepNext/>
        <w:pStyle w:val="Heading2"/>
      </w:pPr>
      <w:r>
        <w:t>2.3 Format retenu</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440"/>
        <w:gridCol w:w="2582"/>
        <w:gridCol w:w="3906"/>
        <w:gridCol w:w="1483"/>
      </w:tblGrid>
      <w:tr>
        <w:trPr>
          <w:tblHeader w:val="true"/>
          <w:cantSplit w:val="true"/>
          <w:tblHeader w:val="true"/>
        </w:trPr>
        <w:tc>
          <w:tcPr>
            <w:tcW w:w="1440" w:type="dxa"/>
            <w:shd w:val="clear" w:color="auto" w:fill="1F3A5F"/>
          </w:tcPr>
          <w:p>
            <w:pPr>
              <w:pStyle w:val="Compact"/>
              <w:spacing w:before="20" w:after="20"/>
              <w:jc w:val="left"/>
            </w:pPr>
            <w:r>
              <w:rPr>
                <w:b/>
                <w:color w:val="FFFFFF"/>
                <w:sz w:val="18"/>
              </w:rPr>
              <w:t>Format</w:t>
            </w:r>
          </w:p>
        </w:tc>
        <w:tc>
          <w:tcPr>
            <w:tcW w:w="2582" w:type="dxa"/>
            <w:shd w:val="clear" w:color="auto" w:fill="1F3A5F"/>
          </w:tcPr>
          <w:p>
            <w:pPr>
              <w:pStyle w:val="Compact"/>
              <w:spacing w:before="20" w:after="20"/>
              <w:jc w:val="left"/>
            </w:pPr>
            <w:r>
              <w:rPr>
                <w:b/>
                <w:color w:val="FFFFFF"/>
                <w:sz w:val="18"/>
              </w:rPr>
              <w:t>Pour qui</w:t>
            </w:r>
          </w:p>
        </w:tc>
        <w:tc>
          <w:tcPr>
            <w:tcW w:w="3906" w:type="dxa"/>
            <w:shd w:val="clear" w:color="auto" w:fill="1F3A5F"/>
          </w:tcPr>
          <w:p>
            <w:pPr>
              <w:pStyle w:val="Compact"/>
              <w:spacing w:before="20" w:after="20"/>
              <w:jc w:val="left"/>
            </w:pPr>
            <w:r>
              <w:rPr>
                <w:b/>
                <w:color w:val="FFFFFF"/>
                <w:sz w:val="18"/>
              </w:rPr>
              <w:t>Ce qui est fait</w:t>
            </w:r>
          </w:p>
        </w:tc>
        <w:tc>
          <w:tcPr>
            <w:tcW w:w="1483" w:type="dxa"/>
            <w:shd w:val="clear" w:color="auto" w:fill="1F3A5F"/>
          </w:tcPr>
          <w:p>
            <w:pPr>
              <w:pStyle w:val="Compact"/>
              <w:spacing w:before="20" w:after="20"/>
              <w:jc w:val="left"/>
            </w:pPr>
            <w:r>
              <w:rPr>
                <w:b/>
                <w:color w:val="FFFFFF"/>
                <w:sz w:val="18"/>
              </w:rPr>
              <w:t>Effort indicatif</w:t>
            </w:r>
          </w:p>
        </w:tc>
      </w:tr>
      <w:tr>
        <w:trPr>
          <w:cantSplit w:val="true"/>
        </w:trPr>
        <w:tc>
          <w:tcPr>
            <w:tcW w:w="1440" w:type="dxa"/>
          </w:tcPr>
          <w:p>
            <w:pPr>
              <w:pStyle w:val="Compact"/>
              <w:spacing w:before="20" w:after="20"/>
              <w:jc w:val="left"/>
            </w:pPr>
            <w:r>
              <w:rPr>
                <w:bCs/>
                <w:b/>
                <w:sz w:val="18"/>
              </w:rPr>
              <w:t>Express</w:t>
            </w:r>
          </w:p>
        </w:tc>
        <w:tc>
          <w:tcPr>
            <w:tcW w:w="2582" w:type="dxa"/>
          </w:tcPr>
          <w:p>
            <w:pPr>
              <w:pStyle w:val="Compact"/>
              <w:spacing w:before="20" w:after="20"/>
              <w:jc w:val="left"/>
            </w:pPr>
            <w:r>
              <w:rPr>
                <w:sz w:val="18"/>
              </w:rPr>
              <w:t>Petite structure, première démarche</w:t>
            </w:r>
          </w:p>
        </w:tc>
        <w:tc>
          <w:tcPr>
            <w:tcW w:w="3906" w:type="dxa"/>
          </w:tcPr>
          <w:p>
            <w:pPr>
              <w:pStyle w:val="Compact"/>
              <w:spacing w:before="20" w:after="20"/>
              <w:jc w:val="left"/>
            </w:pPr>
            <w:r>
              <w:rPr>
                <w:sz w:val="18"/>
              </w:rPr>
              <w:t>§2 à §4 en un atelier avec la direction ; §6 allégé (dépendances principales) ; validation (§8) ; un tableau unique</w:t>
            </w:r>
          </w:p>
        </w:tc>
        <w:tc>
          <w:tcPr>
            <w:tcW w:w="1483" w:type="dxa"/>
          </w:tcPr>
          <w:p>
            <w:pPr>
              <w:pStyle w:val="Compact"/>
              <w:spacing w:before="20" w:after="20"/>
              <w:jc w:val="left"/>
            </w:pPr>
            <w:r>
              <w:rPr>
                <w:sz w:val="18"/>
              </w:rPr>
              <w:t>Un à deux jours</w:t>
            </w:r>
          </w:p>
        </w:tc>
      </w:tr>
      <w:tr>
        <w:trPr>
          <w:cantSplit w:val="true"/>
        </w:trPr>
        <w:tc>
          <w:tcPr>
            <w:tcW w:w="1440" w:type="dxa"/>
            <w:shd w:val="clear" w:color="auto" w:fill="EEF2F6"/>
          </w:tcPr>
          <w:p>
            <w:pPr>
              <w:pStyle w:val="Compact"/>
              <w:spacing w:before="20" w:after="20"/>
              <w:jc w:val="left"/>
            </w:pPr>
            <w:r>
              <w:rPr>
                <w:bCs/>
                <w:b/>
                <w:sz w:val="18"/>
              </w:rPr>
              <w:t>Standard</w:t>
            </w:r>
          </w:p>
        </w:tc>
        <w:tc>
          <w:tcPr>
            <w:tcW w:w="2582" w:type="dxa"/>
            <w:shd w:val="clear" w:color="auto" w:fill="EEF2F6"/>
          </w:tcPr>
          <w:p>
            <w:pPr>
              <w:pStyle w:val="Compact"/>
              <w:spacing w:before="20" w:after="20"/>
              <w:jc w:val="left"/>
            </w:pPr>
            <w:r>
              <w:rPr>
                <w:sz w:val="18"/>
              </w:rPr>
              <w:t>La plupart des organisations</w:t>
            </w:r>
          </w:p>
        </w:tc>
        <w:tc>
          <w:tcPr>
            <w:tcW w:w="3906" w:type="dxa"/>
            <w:shd w:val="clear" w:color="auto" w:fill="EEF2F6"/>
          </w:tcPr>
          <w:p>
            <w:pPr>
              <w:pStyle w:val="Compact"/>
              <w:spacing w:before="20" w:after="20"/>
              <w:jc w:val="left"/>
            </w:pPr>
            <w:r>
              <w:rPr>
                <w:sz w:val="18"/>
              </w:rPr>
              <w:t>Toutes les étapes ; entretiens limités aux activités des services prioritaires</w:t>
            </w:r>
          </w:p>
        </w:tc>
        <w:tc>
          <w:tcPr>
            <w:tcW w:w="1483" w:type="dxa"/>
            <w:shd w:val="clear" w:color="auto" w:fill="EEF2F6"/>
          </w:tcPr>
          <w:p>
            <w:pPr>
              <w:pStyle w:val="Compact"/>
              <w:spacing w:before="20" w:after="20"/>
              <w:jc w:val="left"/>
            </w:pPr>
            <w:r>
              <w:rPr>
                <w:sz w:val="18"/>
              </w:rPr>
              <w:t>Six à dix semaines</w:t>
            </w:r>
          </w:p>
        </w:tc>
      </w:tr>
      <w:tr>
        <w:trPr>
          <w:cantSplit w:val="true"/>
        </w:trPr>
        <w:tc>
          <w:tcPr>
            <w:tcW w:w="1440" w:type="dxa"/>
          </w:tcPr>
          <w:p>
            <w:pPr>
              <w:pStyle w:val="Compact"/>
              <w:spacing w:before="20" w:after="20"/>
              <w:jc w:val="left"/>
            </w:pPr>
            <w:r>
              <w:rPr>
                <w:bCs/>
                <w:b/>
                <w:sz w:val="18"/>
              </w:rPr>
              <w:t>Approfondi</w:t>
            </w:r>
          </w:p>
        </w:tc>
        <w:tc>
          <w:tcPr>
            <w:tcW w:w="2582" w:type="dxa"/>
          </w:tcPr>
          <w:p>
            <w:pPr>
              <w:pStyle w:val="Compact"/>
              <w:spacing w:before="20" w:after="20"/>
              <w:jc w:val="left"/>
            </w:pPr>
            <w:r>
              <w:rPr>
                <w:sz w:val="18"/>
              </w:rPr>
              <w:t>Organisations soumises à des obligations sectorielles fortes</w:t>
            </w:r>
          </w:p>
        </w:tc>
        <w:tc>
          <w:tcPr>
            <w:tcW w:w="3906" w:type="dxa"/>
          </w:tcPr>
          <w:p>
            <w:pPr>
              <w:pStyle w:val="Compact"/>
              <w:spacing w:before="20" w:after="20"/>
              <w:jc w:val="left"/>
            </w:pPr>
            <w:r>
              <w:rPr>
                <w:sz w:val="18"/>
              </w:rPr>
              <w:t>Standard, plus un niveau processus, une quantification financière et une revue indépendante des seuils</w:t>
            </w:r>
          </w:p>
        </w:tc>
        <w:tc>
          <w:tcPr>
            <w:tcW w:w="1483" w:type="dxa"/>
          </w:tcPr>
          <w:p>
            <w:pPr>
              <w:pStyle w:val="Compact"/>
              <w:spacing w:before="20" w:after="20"/>
              <w:jc w:val="left"/>
            </w:pPr>
            <w:r>
              <w:rPr>
                <w:sz w:val="18"/>
              </w:rPr>
              <w:t>Trois à quatre mois</w:t>
            </w:r>
          </w:p>
        </w:tc>
      </w:tr>
    </w:tbl>
    <w:p>
      <w:pPr>
        <w:pStyle w:val="BodyText"/>
      </w:pPr>
      <w:r>
        <w:rPr>
          <w:iCs/>
          <w:i/>
        </w:rPr>
        <w:t>Efforts indicatifs, à ajuster selon la disponibilité des interlocuteurs.</w:t>
      </w:r>
      <w:r>
        <w:t xml:space="preserve"> </w:t>
      </w:r>
      <w:r>
        <w:rPr>
          <w:bCs/>
          <w:b/>
        </w:rPr>
        <w:t>[À VALIDER]</w:t>
      </w:r>
    </w:p>
    <w:bookmarkEnd w:id="32"/>
    <w:bookmarkStart w:id="33" w:name="existant-à-réutiliser"/>
    <w:p>
      <w:pPr>
        <w:pStyle w:val="Heading2"/>
      </w:pPr>
      <w:r>
        <w:t>2.4 Existant à réutiliser</w:t>
      </w:r>
    </w:p>
    <w:p>
      <w:pPr>
        <w:pStyle w:val="FirstParagraph"/>
      </w:pPr>
      <w:r>
        <w:t>☐ Cartographie des processus ☐ Référentiel applicatif / CMDB ☐ Contrats et conventions de service ☐ Registre des tiers ☐ Analyse de risques (EBIOS RM ou autre) ☐ Retours d’incidents et d’exercices ☐ PCA ou PRA existants ☐ Autre :</w:t>
      </w:r>
      <w:r>
        <w:t xml:space="preserve"> </w:t>
      </w:r>
      <w:r>
        <w:rPr>
          <w:bCs/>
          <w:b/>
        </w:rPr>
        <w:t>[À COMPLÉTER]</w:t>
      </w:r>
    </w:p>
    <w:p>
      <w:r>
        <w:pict>
          <v:rect style="width:0;height:1.5pt" o:hralign="center" o:hrstd="t" o:hr="t"/>
        </w:pict>
      </w:r>
    </w:p>
    <w:bookmarkEnd w:id="33"/>
    <w:bookmarkEnd w:id="34"/>
    <w:bookmarkStart w:id="41" w:name="règles-dévaluation"/>
    <w:p>
      <w:pPr>
        <w:pStyle w:val="Heading1"/>
      </w:pPr>
      <w:r>
        <w:t>3. Règles d’évaluation</w:t>
      </w:r>
    </w:p>
    <w:p>
      <w:pPr>
        <w:pStyle w:val="FirstParagraph"/>
      </w:pPr>
      <w:r>
        <w:rPr>
          <w:iCs/>
          <w:i/>
        </w:rPr>
        <w:t>À adapter puis à faire valider par le commanditaire</w:t>
      </w:r>
      <w:r>
        <w:rPr>
          <w:iCs/>
          <w:i/>
        </w:rPr>
        <w:t xml:space="preserve"> </w:t>
      </w:r>
      <w:r>
        <w:rPr>
          <w:bCs/>
          <w:b/>
          <w:iCs/>
          <w:i/>
        </w:rPr>
        <w:t>avant</w:t>
      </w:r>
      <w:r>
        <w:rPr>
          <w:iCs/>
          <w:i/>
        </w:rPr>
        <w:t xml:space="preserve"> </w:t>
      </w:r>
      <w:r>
        <w:rPr>
          <w:iCs/>
          <w:i/>
        </w:rPr>
        <w:t>le premier entretien. Date de validation :</w:t>
      </w:r>
      <w:r>
        <w:rPr>
          <w:iCs/>
          <w:i/>
        </w:rPr>
        <w:t xml:space="preserve"> </w:t>
      </w:r>
      <w:r>
        <w:rPr>
          <w:rStyle w:val="VerbatimChar"/>
          <w:iCs/>
          <w:i/>
          <w:b/>
          <w:color w:val="8A5A00"/>
        </w:rPr>
        <w:t>{{JJ/MM/AAAA}}</w:t>
      </w:r>
      <w:r>
        <w:rPr>
          <w:iCs/>
          <w:i/>
        </w:rPr>
        <w:t>.</w:t>
      </w:r>
    </w:p>
    <w:bookmarkStart w:id="35" w:name="hypothèses-de-travail"/>
    <w:p>
      <w:pPr>
        <w:pStyle w:val="Heading2"/>
      </w:pPr>
      <w:r>
        <w:t>3.1 Hypothèses de travail</w:t>
      </w:r>
    </w:p>
    <w:p>
      <w:pPr>
        <w:keepNext/>
        <w:pStyle w:val="BlockText"/>
      </w:pPr>
      <w:r>
        <w:t>Toutes les évaluations partent des mêmes hypothèses. Elles sont rappelées en début de chaque entretien.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44"/>
        <w:gridCol w:w="2248"/>
        <w:gridCol w:w="6619"/>
      </w:tblGrid>
      <w:tr>
        <w:trPr>
          <w:tblHeader w:val="true"/>
          <w:cantSplit w:val="true"/>
          <w:tblHeader w:val="true"/>
        </w:trPr>
        <w:tc>
          <w:tcPr>
            <w:tcW w:w="544" w:type="dxa"/>
            <w:shd w:val="clear" w:color="auto" w:fill="1F3A5F"/>
          </w:tcPr>
          <w:p>
            <w:pPr>
              <w:pStyle w:val="Compact"/>
              <w:spacing w:before="20" w:after="20"/>
              <w:jc w:val="left"/>
            </w:pPr>
            <w:r>
              <w:rPr>
                <w:b/>
                <w:color w:val="FFFFFF"/>
                <w:sz w:val="18"/>
              </w:rPr>
              <w:t>#</w:t>
            </w:r>
          </w:p>
        </w:tc>
        <w:tc>
          <w:tcPr>
            <w:tcW w:w="2248" w:type="dxa"/>
            <w:shd w:val="clear" w:color="auto" w:fill="1F3A5F"/>
          </w:tcPr>
          <w:p>
            <w:pPr>
              <w:pStyle w:val="Compact"/>
              <w:spacing w:before="20" w:after="20"/>
              <w:jc w:val="left"/>
            </w:pPr>
            <w:r>
              <w:rPr>
                <w:b/>
                <w:color w:val="FFFFFF"/>
                <w:sz w:val="18"/>
              </w:rPr>
              <w:t>Hypothèse</w:t>
            </w:r>
          </w:p>
        </w:tc>
        <w:tc>
          <w:tcPr>
            <w:tcW w:w="6619" w:type="dxa"/>
            <w:shd w:val="clear" w:color="auto" w:fill="1F3A5F"/>
          </w:tcPr>
          <w:p>
            <w:pPr>
              <w:pStyle w:val="Compact"/>
              <w:spacing w:before="20" w:after="20"/>
              <w:jc w:val="left"/>
            </w:pPr>
            <w:r>
              <w:rPr>
                <w:b/>
                <w:color w:val="FFFFFF"/>
                <w:sz w:val="18"/>
              </w:rPr>
              <w:t>Valeur proposée</w:t>
            </w:r>
          </w:p>
        </w:tc>
      </w:tr>
      <w:tr>
        <w:trPr>
          <w:cantSplit w:val="true"/>
        </w:trPr>
        <w:tc>
          <w:tcPr>
            <w:tcW w:w="544" w:type="dxa"/>
          </w:tcPr>
          <w:p>
            <w:pPr>
              <w:pStyle w:val="Compact"/>
              <w:spacing w:before="20" w:after="20"/>
              <w:jc w:val="left"/>
            </w:pPr>
            <w:r>
              <w:rPr>
                <w:sz w:val="18"/>
              </w:rPr>
              <w:t>H1</w:t>
            </w:r>
          </w:p>
        </w:tc>
        <w:tc>
          <w:tcPr>
            <w:tcW w:w="2248" w:type="dxa"/>
          </w:tcPr>
          <w:p>
            <w:pPr>
              <w:pStyle w:val="Compact"/>
              <w:spacing w:before="20" w:after="20"/>
              <w:jc w:val="left"/>
            </w:pPr>
            <w:r>
              <w:rPr>
                <w:sz w:val="18"/>
              </w:rPr>
              <w:t>Nature de l’interruption</w:t>
            </w:r>
          </w:p>
        </w:tc>
        <w:tc>
          <w:tcPr>
            <w:tcW w:w="6619" w:type="dxa"/>
          </w:tcPr>
          <w:p>
            <w:pPr>
              <w:pStyle w:val="Compact"/>
              <w:spacing w:before="20" w:after="20"/>
              <w:jc w:val="left"/>
            </w:pPr>
            <w:r>
              <w:rPr>
                <w:bCs/>
                <w:b/>
                <w:sz w:val="18"/>
              </w:rPr>
              <w:t>Perte totale</w:t>
            </w:r>
            <w:r>
              <w:rPr>
                <w:sz w:val="18"/>
              </w:rPr>
              <w:t xml:space="preserve"> </w:t>
            </w:r>
            <w:r>
              <w:rPr>
                <w:sz w:val="18"/>
              </w:rPr>
              <w:t>de la capacité à réaliser l’activité, quelle qu’en soit la cause</w:t>
            </w:r>
            <w:r>
              <w:rPr>
                <w:sz w:val="18"/>
              </w:rPr>
              <w:t xml:space="preserve"> </w:t>
            </w:r>
            <w:r>
              <w:rPr>
                <w:bCs/>
                <w:b/>
                <w:sz w:val="18"/>
              </w:rPr>
              <w:t>[À VALIDER]</w:t>
            </w:r>
          </w:p>
        </w:tc>
      </w:tr>
      <w:tr>
        <w:trPr>
          <w:cantSplit w:val="true"/>
        </w:trPr>
        <w:tc>
          <w:tcPr>
            <w:tcW w:w="544" w:type="dxa"/>
            <w:shd w:val="clear" w:color="auto" w:fill="EEF2F6"/>
          </w:tcPr>
          <w:p>
            <w:pPr>
              <w:pStyle w:val="Compact"/>
              <w:spacing w:before="20" w:after="20"/>
              <w:jc w:val="left"/>
            </w:pPr>
            <w:r>
              <w:rPr>
                <w:sz w:val="18"/>
              </w:rPr>
              <w:t>H2</w:t>
            </w:r>
          </w:p>
        </w:tc>
        <w:tc>
          <w:tcPr>
            <w:tcW w:w="2248" w:type="dxa"/>
            <w:shd w:val="clear" w:color="auto" w:fill="EEF2F6"/>
          </w:tcPr>
          <w:p>
            <w:pPr>
              <w:pStyle w:val="Compact"/>
              <w:spacing w:before="20" w:after="20"/>
              <w:jc w:val="left"/>
            </w:pPr>
            <w:r>
              <w:rPr>
                <w:sz w:val="18"/>
              </w:rPr>
              <w:t>Moment de l’interruption</w:t>
            </w:r>
          </w:p>
        </w:tc>
        <w:tc>
          <w:tcPr>
            <w:tcW w:w="6619" w:type="dxa"/>
            <w:shd w:val="clear" w:color="auto" w:fill="EEF2F6"/>
          </w:tcPr>
          <w:p>
            <w:pPr>
              <w:pStyle w:val="Compact"/>
              <w:spacing w:before="20" w:after="20"/>
              <w:jc w:val="left"/>
            </w:pPr>
            <w:r>
              <w:rPr>
                <w:bCs/>
                <w:b/>
                <w:sz w:val="18"/>
              </w:rPr>
              <w:t>Moment le plus défavorable</w:t>
            </w:r>
            <w:r>
              <w:rPr>
                <w:sz w:val="18"/>
              </w:rPr>
              <w:t xml:space="preserve"> </w:t>
            </w:r>
            <w:r>
              <w:rPr>
                <w:sz w:val="18"/>
              </w:rPr>
              <w:t>plausible, en tenant compte des périodes critiques</w:t>
            </w:r>
            <w:r>
              <w:rPr>
                <w:sz w:val="18"/>
              </w:rPr>
              <w:t xml:space="preserve"> </w:t>
            </w:r>
            <w:r>
              <w:rPr>
                <w:bCs/>
                <w:b/>
                <w:sz w:val="18"/>
              </w:rPr>
              <w:t>[À VALIDER]</w:t>
            </w:r>
          </w:p>
        </w:tc>
      </w:tr>
      <w:tr>
        <w:trPr>
          <w:cantSplit w:val="true"/>
        </w:trPr>
        <w:tc>
          <w:tcPr>
            <w:tcW w:w="544" w:type="dxa"/>
          </w:tcPr>
          <w:p>
            <w:pPr>
              <w:pStyle w:val="Compact"/>
              <w:spacing w:before="20" w:after="20"/>
              <w:jc w:val="left"/>
            </w:pPr>
            <w:r>
              <w:rPr>
                <w:sz w:val="18"/>
              </w:rPr>
              <w:t>H3</w:t>
            </w:r>
          </w:p>
        </w:tc>
        <w:tc>
          <w:tcPr>
            <w:tcW w:w="2248" w:type="dxa"/>
          </w:tcPr>
          <w:p>
            <w:pPr>
              <w:pStyle w:val="Compact"/>
              <w:spacing w:before="20" w:after="20"/>
              <w:jc w:val="left"/>
            </w:pPr>
            <w:r>
              <w:rPr>
                <w:sz w:val="18"/>
              </w:rPr>
              <w:t>Autres hypothèses</w:t>
            </w:r>
          </w:p>
        </w:tc>
        <w:tc>
          <w:tcPr>
            <w:tcW w:w="6619" w:type="dxa"/>
          </w:tcPr>
          <w:p>
            <w:pPr>
              <w:pStyle w:val="Compact"/>
              <w:spacing w:before="20" w:after="20"/>
              <w:jc w:val="left"/>
            </w:pPr>
            <w:r>
              <w:rPr>
                <w:bCs/>
                <w:b/>
                <w:sz w:val="18"/>
              </w:rPr>
              <w:t>[À COMPLÉTER]</w:t>
            </w:r>
            <w:r>
              <w:rPr>
                <w:sz w:val="18"/>
              </w:rPr>
              <w:t xml:space="preserve"> </w:t>
            </w:r>
            <w:r>
              <w:rPr>
                <w:sz w:val="18"/>
              </w:rPr>
              <w:t>(ex. interruption limitée à un site, ou étendue à toute l’organisation)</w:t>
            </w:r>
          </w:p>
        </w:tc>
      </w:tr>
    </w:tbl>
    <w:bookmarkEnd w:id="35"/>
    <w:bookmarkStart w:id="36" w:name="critères-et-échelle-dimpact"/>
    <w:p>
      <w:pPr>
        <w:pStyle w:val="Heading2"/>
      </w:pPr>
      <w:r>
        <w:t>3.2 Critères et échelle d’impact</w:t>
      </w:r>
    </w:p>
    <w:p>
      <w:pPr>
        <w:keepNext/>
        <w:pStyle w:val="FirstParagraph"/>
      </w:pPr>
      <w:r>
        <w:t>Quatre niveaux, sans niveau médian. Les libellés reprennent ceux de l’échelle de gravité du guide EBIOS Risk Manager ; une organisation qui l’utilise déjà peut reprendre la sienne telle quelle.</w:t>
      </w:r>
      <w:r>
        <w:t xml:space="preserve"> </w:t>
      </w:r>
      <w:r>
        <w:rPr>
          <w:bCs/>
          <w:b/>
        </w:rPr>
        <w:t>Le niveau 3 « Grave » est le seuil d’inacceptabilité.</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091"/>
        <w:gridCol w:w="1537"/>
        <w:gridCol w:w="1749"/>
        <w:gridCol w:w="2012"/>
        <w:gridCol w:w="2022"/>
      </w:tblGrid>
      <w:tr>
        <w:trPr>
          <w:tblHeader w:val="true"/>
          <w:cantSplit w:val="true"/>
          <w:tblHeader w:val="true"/>
        </w:trPr>
        <w:tc>
          <w:tcPr>
            <w:tcW w:w="2091" w:type="dxa"/>
            <w:shd w:val="clear" w:color="auto" w:fill="1F3A5F"/>
          </w:tcPr>
          <w:p>
            <w:pPr>
              <w:pStyle w:val="Compact"/>
              <w:spacing w:before="20" w:after="20"/>
              <w:jc w:val="left"/>
            </w:pPr>
            <w:r>
              <w:rPr>
                <w:b/>
                <w:color w:val="FFFFFF"/>
                <w:sz w:val="18"/>
              </w:rPr>
              <w:t>Critère</w:t>
            </w:r>
          </w:p>
        </w:tc>
        <w:tc>
          <w:tcPr>
            <w:tcW w:w="1537" w:type="dxa"/>
            <w:shd w:val="clear" w:color="auto" w:fill="1F3A5F"/>
          </w:tcPr>
          <w:p>
            <w:pPr>
              <w:pStyle w:val="Compact"/>
              <w:spacing w:before="20" w:after="20"/>
              <w:jc w:val="left"/>
            </w:pPr>
            <w:r>
              <w:rPr>
                <w:b/>
                <w:color w:val="FFFFFF"/>
                <w:sz w:val="18"/>
              </w:rPr>
              <w:t>1 — Mineur</w:t>
            </w:r>
          </w:p>
        </w:tc>
        <w:tc>
          <w:tcPr>
            <w:tcW w:w="1749" w:type="dxa"/>
            <w:shd w:val="clear" w:color="auto" w:fill="1F3A5F"/>
          </w:tcPr>
          <w:p>
            <w:pPr>
              <w:pStyle w:val="Compact"/>
              <w:spacing w:before="20" w:after="20"/>
              <w:jc w:val="left"/>
            </w:pPr>
            <w:r>
              <w:rPr>
                <w:b/>
                <w:color w:val="FFFFFF"/>
                <w:sz w:val="18"/>
              </w:rPr>
              <w:t>2 — Significatif</w:t>
            </w:r>
          </w:p>
        </w:tc>
        <w:tc>
          <w:tcPr>
            <w:tcW w:w="2012" w:type="dxa"/>
            <w:shd w:val="clear" w:color="auto" w:fill="1F3A5F"/>
          </w:tcPr>
          <w:p>
            <w:pPr>
              <w:pStyle w:val="Compact"/>
              <w:spacing w:before="20" w:after="20"/>
              <w:jc w:val="left"/>
            </w:pPr>
            <w:r>
              <w:rPr>
                <w:b/>
                <w:color w:val="FFFFFF"/>
                <w:sz w:val="18"/>
              </w:rPr>
              <w:t>3 — Grave</w:t>
            </w:r>
          </w:p>
        </w:tc>
        <w:tc>
          <w:tcPr>
            <w:tcW w:w="2022" w:type="dxa"/>
            <w:shd w:val="clear" w:color="auto" w:fill="1F3A5F"/>
          </w:tcPr>
          <w:p>
            <w:pPr>
              <w:pStyle w:val="Compact"/>
              <w:spacing w:before="20" w:after="20"/>
              <w:jc w:val="left"/>
            </w:pPr>
            <w:r>
              <w:rPr>
                <w:b/>
                <w:color w:val="FFFFFF"/>
                <w:sz w:val="18"/>
              </w:rPr>
              <w:t>4 — Critique</w:t>
            </w:r>
          </w:p>
        </w:tc>
      </w:tr>
      <w:tr>
        <w:trPr>
          <w:cantSplit w:val="true"/>
        </w:trPr>
        <w:tc>
          <w:tcPr>
            <w:tcW w:w="2091" w:type="dxa"/>
          </w:tcPr>
          <w:p>
            <w:pPr>
              <w:pStyle w:val="Compact"/>
              <w:spacing w:before="20" w:after="20"/>
              <w:jc w:val="left"/>
            </w:pPr>
            <w:r>
              <w:rPr>
                <w:bCs/>
                <w:b/>
                <w:sz w:val="18"/>
              </w:rPr>
              <w:t>Personnes</w:t>
            </w:r>
            <w:r>
              <w:rPr>
                <w:sz w:val="18"/>
              </w:rPr>
              <w:t xml:space="preserve"> </w:t>
            </w:r>
            <w:r>
              <w:rPr>
                <w:sz w:val="18"/>
              </w:rPr>
              <w:t>(santé, sécurité)</w:t>
            </w:r>
          </w:p>
        </w:tc>
        <w:tc>
          <w:tcPr>
            <w:tcW w:w="1537" w:type="dxa"/>
          </w:tcPr>
          <w:p>
            <w:pPr>
              <w:pStyle w:val="Compact"/>
              <w:spacing w:before="20" w:after="20"/>
              <w:jc w:val="left"/>
            </w:pPr>
            <w:r>
              <w:rPr>
                <w:sz w:val="18"/>
              </w:rPr>
              <w:t>Gêne, sans atteinte</w:t>
            </w:r>
          </w:p>
        </w:tc>
        <w:tc>
          <w:tcPr>
            <w:tcW w:w="1749" w:type="dxa"/>
          </w:tcPr>
          <w:p>
            <w:pPr>
              <w:pStyle w:val="Compact"/>
              <w:spacing w:before="20" w:after="20"/>
              <w:jc w:val="left"/>
            </w:pPr>
            <w:r>
              <w:rPr>
                <w:sz w:val="18"/>
              </w:rPr>
              <w:t>Atteinte légère ou stress notable</w:t>
            </w:r>
          </w:p>
        </w:tc>
        <w:tc>
          <w:tcPr>
            <w:tcW w:w="2012" w:type="dxa"/>
          </w:tcPr>
          <w:p>
            <w:pPr>
              <w:pStyle w:val="Compact"/>
              <w:spacing w:before="20" w:after="20"/>
              <w:jc w:val="left"/>
            </w:pPr>
            <w:r>
              <w:rPr>
                <w:sz w:val="18"/>
              </w:rPr>
              <w:t>Atteinte sérieuse possible</w:t>
            </w:r>
          </w:p>
        </w:tc>
        <w:tc>
          <w:tcPr>
            <w:tcW w:w="2022" w:type="dxa"/>
          </w:tcPr>
          <w:p>
            <w:pPr>
              <w:pStyle w:val="Compact"/>
              <w:spacing w:before="20" w:after="20"/>
              <w:jc w:val="left"/>
            </w:pPr>
            <w:r>
              <w:rPr>
                <w:sz w:val="18"/>
              </w:rPr>
              <w:t>Danger pour la vie</w:t>
            </w:r>
          </w:p>
        </w:tc>
      </w:tr>
      <w:tr>
        <w:trPr>
          <w:cantSplit w:val="true"/>
        </w:trPr>
        <w:tc>
          <w:tcPr>
            <w:tcW w:w="2091" w:type="dxa"/>
            <w:shd w:val="clear" w:color="auto" w:fill="EEF2F6"/>
          </w:tcPr>
          <w:p>
            <w:pPr>
              <w:pStyle w:val="Compact"/>
              <w:spacing w:before="20" w:after="20"/>
              <w:jc w:val="left"/>
            </w:pPr>
            <w:r>
              <w:rPr>
                <w:bCs/>
                <w:b/>
                <w:sz w:val="18"/>
              </w:rPr>
              <w:t>Clients et usagers</w:t>
            </w:r>
          </w:p>
        </w:tc>
        <w:tc>
          <w:tcPr>
            <w:tcW w:w="1537" w:type="dxa"/>
            <w:shd w:val="clear" w:color="auto" w:fill="EEF2F6"/>
          </w:tcPr>
          <w:p>
            <w:pPr>
              <w:pStyle w:val="Compact"/>
              <w:spacing w:before="20" w:after="20"/>
              <w:jc w:val="left"/>
            </w:pPr>
            <w:r>
              <w:rPr>
                <w:sz w:val="18"/>
              </w:rPr>
              <w:t>Retard ponctuel, peu visible</w:t>
            </w:r>
          </w:p>
        </w:tc>
        <w:tc>
          <w:tcPr>
            <w:tcW w:w="1749" w:type="dxa"/>
            <w:shd w:val="clear" w:color="auto" w:fill="EEF2F6"/>
          </w:tcPr>
          <w:p>
            <w:pPr>
              <w:pStyle w:val="Compact"/>
              <w:spacing w:before="20" w:after="20"/>
              <w:jc w:val="left"/>
            </w:pPr>
            <w:r>
              <w:rPr>
                <w:sz w:val="18"/>
              </w:rPr>
              <w:t>Service dégradé visible, réclamations</w:t>
            </w:r>
          </w:p>
        </w:tc>
        <w:tc>
          <w:tcPr>
            <w:tcW w:w="2012" w:type="dxa"/>
            <w:shd w:val="clear" w:color="auto" w:fill="EEF2F6"/>
          </w:tcPr>
          <w:p>
            <w:pPr>
              <w:pStyle w:val="Compact"/>
              <w:spacing w:before="20" w:after="20"/>
              <w:jc w:val="left"/>
            </w:pPr>
            <w:r>
              <w:rPr>
                <w:sz w:val="18"/>
              </w:rPr>
              <w:t>Interruption pour une large part des clients, départs</w:t>
            </w:r>
          </w:p>
        </w:tc>
        <w:tc>
          <w:tcPr>
            <w:tcW w:w="2022" w:type="dxa"/>
            <w:shd w:val="clear" w:color="auto" w:fill="EEF2F6"/>
          </w:tcPr>
          <w:p>
            <w:pPr>
              <w:pStyle w:val="Compact"/>
              <w:spacing w:before="20" w:after="20"/>
              <w:jc w:val="left"/>
            </w:pPr>
            <w:r>
              <w:rPr>
                <w:sz w:val="18"/>
              </w:rPr>
              <w:t>Perte durable de la clientèle ou de la mission</w:t>
            </w:r>
          </w:p>
        </w:tc>
      </w:tr>
      <w:tr>
        <w:trPr>
          <w:cantSplit w:val="true"/>
        </w:trPr>
        <w:tc>
          <w:tcPr>
            <w:tcW w:w="2091" w:type="dxa"/>
          </w:tcPr>
          <w:p>
            <w:pPr>
              <w:pStyle w:val="Compact"/>
              <w:spacing w:before="20" w:after="20"/>
              <w:jc w:val="left"/>
            </w:pPr>
            <w:r>
              <w:rPr>
                <w:bCs/>
                <w:b/>
                <w:sz w:val="18"/>
              </w:rPr>
              <w:t>Obligations</w:t>
            </w:r>
            <w:r>
              <w:rPr>
                <w:sz w:val="18"/>
              </w:rPr>
              <w:t xml:space="preserve"> </w:t>
            </w:r>
            <w:r>
              <w:rPr>
                <w:sz w:val="18"/>
              </w:rPr>
              <w:t>(légales, réglementaires, contractuelles)</w:t>
            </w:r>
          </w:p>
        </w:tc>
        <w:tc>
          <w:tcPr>
            <w:tcW w:w="1537" w:type="dxa"/>
          </w:tcPr>
          <w:p>
            <w:pPr>
              <w:pStyle w:val="Compact"/>
              <w:spacing w:before="20" w:after="20"/>
              <w:jc w:val="left"/>
            </w:pPr>
            <w:r>
              <w:rPr>
                <w:sz w:val="18"/>
              </w:rPr>
              <w:t>Écart sans suite</w:t>
            </w:r>
          </w:p>
        </w:tc>
        <w:tc>
          <w:tcPr>
            <w:tcW w:w="1749" w:type="dxa"/>
          </w:tcPr>
          <w:p>
            <w:pPr>
              <w:pStyle w:val="Compact"/>
              <w:spacing w:before="20" w:after="20"/>
              <w:jc w:val="left"/>
            </w:pPr>
            <w:r>
              <w:rPr>
                <w:sz w:val="18"/>
              </w:rPr>
              <w:t>Manquement contractuel, pénalités limitées</w:t>
            </w:r>
          </w:p>
        </w:tc>
        <w:tc>
          <w:tcPr>
            <w:tcW w:w="2012" w:type="dxa"/>
          </w:tcPr>
          <w:p>
            <w:pPr>
              <w:pStyle w:val="Compact"/>
              <w:spacing w:before="20" w:after="20"/>
              <w:jc w:val="left"/>
            </w:pPr>
            <w:r>
              <w:rPr>
                <w:sz w:val="18"/>
              </w:rPr>
              <w:t>Manquement réglementaire notifiable, pénalités significatives</w:t>
            </w:r>
          </w:p>
        </w:tc>
        <w:tc>
          <w:tcPr>
            <w:tcW w:w="2022" w:type="dxa"/>
          </w:tcPr>
          <w:p>
            <w:pPr>
              <w:pStyle w:val="Compact"/>
              <w:spacing w:before="20" w:after="20"/>
              <w:jc w:val="left"/>
            </w:pPr>
            <w:r>
              <w:rPr>
                <w:sz w:val="18"/>
              </w:rPr>
              <w:t>Sanction lourde, retrait d’agrément, mise en cause des dirigeants</w:t>
            </w:r>
          </w:p>
        </w:tc>
      </w:tr>
      <w:tr>
        <w:trPr>
          <w:cantSplit w:val="true"/>
        </w:trPr>
        <w:tc>
          <w:tcPr>
            <w:tcW w:w="2091" w:type="dxa"/>
            <w:shd w:val="clear" w:color="auto" w:fill="EEF2F6"/>
          </w:tcPr>
          <w:p>
            <w:pPr>
              <w:pStyle w:val="Compact"/>
              <w:spacing w:before="20" w:after="20"/>
              <w:jc w:val="left"/>
            </w:pPr>
            <w:r>
              <w:rPr>
                <w:bCs/>
                <w:b/>
                <w:sz w:val="18"/>
              </w:rPr>
              <w:t>Finances</w:t>
            </w:r>
            <w:r>
              <w:rPr>
                <w:sz w:val="18"/>
              </w:rPr>
              <w:t xml:space="preserve"> </w:t>
            </w:r>
            <w:r>
              <w:rPr>
                <w:sz w:val="18"/>
              </w:rPr>
              <w:t>(pertes et surcoûts)</w:t>
            </w:r>
          </w:p>
        </w:tc>
        <w:tc>
          <w:tcPr>
            <w:tcW w:w="1537" w:type="dxa"/>
            <w:shd w:val="clear" w:color="auto" w:fill="EEF2F6"/>
          </w:tcPr>
          <w:p>
            <w:pPr>
              <w:pStyle w:val="Compact"/>
              <w:spacing w:before="20" w:after="20"/>
              <w:jc w:val="left"/>
            </w:pPr>
            <w:r>
              <w:rPr>
                <w:sz w:val="18"/>
              </w:rPr>
              <w:t>&lt; 0,1 % du chiffre d’affaires ou du budget annuel</w:t>
            </w:r>
          </w:p>
        </w:tc>
        <w:tc>
          <w:tcPr>
            <w:tcW w:w="1749" w:type="dxa"/>
            <w:shd w:val="clear" w:color="auto" w:fill="EEF2F6"/>
          </w:tcPr>
          <w:p>
            <w:pPr>
              <w:pStyle w:val="Compact"/>
              <w:spacing w:before="20" w:after="20"/>
              <w:jc w:val="left"/>
            </w:pPr>
            <w:r>
              <w:rPr>
                <w:sz w:val="18"/>
              </w:rPr>
              <w:t>0,1 à 0,5 %</w:t>
            </w:r>
          </w:p>
        </w:tc>
        <w:tc>
          <w:tcPr>
            <w:tcW w:w="2012" w:type="dxa"/>
            <w:shd w:val="clear" w:color="auto" w:fill="EEF2F6"/>
          </w:tcPr>
          <w:p>
            <w:pPr>
              <w:pStyle w:val="Compact"/>
              <w:spacing w:before="20" w:after="20"/>
              <w:jc w:val="left"/>
            </w:pPr>
            <w:r>
              <w:rPr>
                <w:sz w:val="18"/>
              </w:rPr>
              <w:t>0,5 à 2 %</w:t>
            </w:r>
          </w:p>
        </w:tc>
        <w:tc>
          <w:tcPr>
            <w:tcW w:w="2022" w:type="dxa"/>
            <w:shd w:val="clear" w:color="auto" w:fill="EEF2F6"/>
          </w:tcPr>
          <w:p>
            <w:pPr>
              <w:pStyle w:val="Compact"/>
              <w:spacing w:before="20" w:after="20"/>
              <w:jc w:val="left"/>
            </w:pPr>
            <w:r>
              <w:rPr>
                <w:sz w:val="18"/>
              </w:rPr>
              <w:t>&gt; 2 %</w:t>
            </w:r>
          </w:p>
        </w:tc>
      </w:tr>
      <w:tr>
        <w:trPr>
          <w:cantSplit w:val="true"/>
        </w:trPr>
        <w:tc>
          <w:tcPr>
            <w:tcW w:w="2091" w:type="dxa"/>
          </w:tcPr>
          <w:p>
            <w:pPr>
              <w:pStyle w:val="Compact"/>
              <w:spacing w:before="20" w:after="20"/>
              <w:jc w:val="left"/>
            </w:pPr>
            <w:r>
              <w:rPr>
                <w:bCs/>
                <w:b/>
                <w:sz w:val="18"/>
              </w:rPr>
              <w:t>Confiance et image</w:t>
            </w:r>
          </w:p>
        </w:tc>
        <w:tc>
          <w:tcPr>
            <w:tcW w:w="1537" w:type="dxa"/>
          </w:tcPr>
          <w:p>
            <w:pPr>
              <w:pStyle w:val="Compact"/>
              <w:spacing w:before="20" w:after="20"/>
              <w:jc w:val="left"/>
            </w:pPr>
            <w:r>
              <w:rPr>
                <w:sz w:val="18"/>
              </w:rPr>
              <w:t>Écho interne</w:t>
            </w:r>
          </w:p>
        </w:tc>
        <w:tc>
          <w:tcPr>
            <w:tcW w:w="1749" w:type="dxa"/>
          </w:tcPr>
          <w:p>
            <w:pPr>
              <w:pStyle w:val="Compact"/>
              <w:spacing w:before="20" w:after="20"/>
              <w:jc w:val="left"/>
            </w:pPr>
            <w:r>
              <w:rPr>
                <w:sz w:val="18"/>
              </w:rPr>
              <w:t>Écho limité (presse locale, réseaux)</w:t>
            </w:r>
          </w:p>
        </w:tc>
        <w:tc>
          <w:tcPr>
            <w:tcW w:w="2012" w:type="dxa"/>
          </w:tcPr>
          <w:p>
            <w:pPr>
              <w:pStyle w:val="Compact"/>
              <w:spacing w:before="20" w:after="20"/>
              <w:jc w:val="left"/>
            </w:pPr>
            <w:r>
              <w:rPr>
                <w:sz w:val="18"/>
              </w:rPr>
              <w:t>Couverture nationale</w:t>
            </w:r>
          </w:p>
        </w:tc>
        <w:tc>
          <w:tcPr>
            <w:tcW w:w="2022" w:type="dxa"/>
          </w:tcPr>
          <w:p>
            <w:pPr>
              <w:pStyle w:val="Compact"/>
              <w:spacing w:before="20" w:after="20"/>
              <w:jc w:val="left"/>
            </w:pPr>
            <w:r>
              <w:rPr>
                <w:sz w:val="18"/>
              </w:rPr>
              <w:t>Perte de confiance durable</w:t>
            </w:r>
          </w:p>
        </w:tc>
      </w:tr>
      <w:tr>
        <w:trPr>
          <w:cantSplit w:val="true"/>
        </w:trPr>
        <w:tc>
          <w:tcPr>
            <w:tcW w:w="2091" w:type="dxa"/>
            <w:shd w:val="clear" w:color="auto" w:fill="EEF2F6"/>
          </w:tcPr>
          <w:p>
            <w:pPr>
              <w:pStyle w:val="Compact"/>
              <w:spacing w:before="20" w:after="20"/>
              <w:jc w:val="left"/>
            </w:pPr>
            <w:r>
              <w:rPr>
                <w:bCs/>
                <w:b/>
                <w:sz w:val="18"/>
              </w:rPr>
              <w:t>Capacité de pilotage</w:t>
            </w:r>
          </w:p>
        </w:tc>
        <w:tc>
          <w:tcPr>
            <w:tcW w:w="1537" w:type="dxa"/>
            <w:shd w:val="clear" w:color="auto" w:fill="EEF2F6"/>
          </w:tcPr>
          <w:p>
            <w:pPr>
              <w:pStyle w:val="Compact"/>
              <w:spacing w:before="20" w:after="20"/>
              <w:jc w:val="left"/>
            </w:pPr>
            <w:r>
              <w:rPr>
                <w:sz w:val="18"/>
              </w:rPr>
              <w:t>Décisions retardées</w:t>
            </w:r>
          </w:p>
        </w:tc>
        <w:tc>
          <w:tcPr>
            <w:tcW w:w="1749" w:type="dxa"/>
            <w:shd w:val="clear" w:color="auto" w:fill="EEF2F6"/>
          </w:tcPr>
          <w:p>
            <w:pPr>
              <w:pStyle w:val="Compact"/>
              <w:spacing w:before="20" w:after="20"/>
              <w:jc w:val="left"/>
            </w:pPr>
            <w:r>
              <w:rPr>
                <w:sz w:val="18"/>
              </w:rPr>
              <w:t>Pilotage dégradé sur un domaine</w:t>
            </w:r>
          </w:p>
        </w:tc>
        <w:tc>
          <w:tcPr>
            <w:tcW w:w="2012" w:type="dxa"/>
            <w:shd w:val="clear" w:color="auto" w:fill="EEF2F6"/>
          </w:tcPr>
          <w:p>
            <w:pPr>
              <w:pStyle w:val="Compact"/>
              <w:spacing w:before="20" w:after="20"/>
              <w:jc w:val="left"/>
            </w:pPr>
            <w:r>
              <w:rPr>
                <w:sz w:val="18"/>
              </w:rPr>
              <w:t>Incapacité à piloter plusieurs fonctions</w:t>
            </w:r>
          </w:p>
        </w:tc>
        <w:tc>
          <w:tcPr>
            <w:tcW w:w="2022" w:type="dxa"/>
            <w:shd w:val="clear" w:color="auto" w:fill="EEF2F6"/>
          </w:tcPr>
          <w:p>
            <w:pPr>
              <w:pStyle w:val="Compact"/>
              <w:spacing w:before="20" w:after="20"/>
              <w:jc w:val="left"/>
            </w:pPr>
            <w:r>
              <w:rPr>
                <w:sz w:val="18"/>
              </w:rPr>
              <w:t>Perte de contrôle de l’organisation</w:t>
            </w:r>
          </w:p>
        </w:tc>
      </w:tr>
    </w:tbl>
    <w:p>
      <w:pPr>
        <w:pStyle w:val="BodyText"/>
      </w:pPr>
      <w:r>
        <w:rPr>
          <w:iCs/>
          <w:i/>
        </w:rPr>
        <w:t>Seuils et formulations à ajuster à l’organisation.</w:t>
      </w:r>
      <w:r>
        <w:t xml:space="preserve"> </w:t>
      </w:r>
      <w:r>
        <w:rPr>
          <w:bCs/>
          <w:b/>
        </w:rPr>
        <w:t>[À VALIDER]</w:t>
      </w:r>
      <w:r>
        <w:t xml:space="preserve"> </w:t>
      </w:r>
      <w:r>
        <w:t>Critères optionnels : environnement, mission de service public.</w:t>
      </w:r>
      <w:r>
        <w:t xml:space="preserve"> </w:t>
      </w:r>
      <w:r>
        <w:rPr>
          <w:bCs/>
          <w:b/>
        </w:rPr>
        <w:t>[À COMPLÉTER]</w:t>
      </w:r>
    </w:p>
    <w:bookmarkEnd w:id="36"/>
    <w:bookmarkStart w:id="37" w:name="horizons-danalyse"/>
    <w:p>
      <w:pPr>
        <w:keepNext/>
        <w:pStyle w:val="Heading2"/>
      </w:pPr>
      <w:r>
        <w:t>3.3 Horizons d’analyse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391"/>
        <w:gridCol w:w="1520"/>
        <w:gridCol w:w="620"/>
        <w:gridCol w:w="920"/>
        <w:gridCol w:w="1020"/>
        <w:gridCol w:w="1020"/>
        <w:gridCol w:w="920"/>
      </w:tblGrid>
      <w:tr>
        <w:trPr>
          <w:tblHeader w:val="true"/>
          <w:cantSplit w:val="true"/>
          <w:tblHeader w:val="true"/>
        </w:trPr>
        <w:tc>
          <w:tcPr>
            <w:tcW w:w="3391" w:type="dxa"/>
            <w:shd w:val="clear" w:color="auto" w:fill="1F3A5F"/>
          </w:tcPr>
          <w:p>
            <w:pPr>
              <w:pStyle w:val="Compact"/>
              <w:spacing w:before="20" w:after="20"/>
              <w:jc w:val="left"/>
            </w:pPr>
            <w:r>
              <w:rPr>
                <w:b/>
                <w:color w:val="FFFFFF"/>
                <w:sz w:val="16"/>
              </w:rPr>
              <w:t>Horizon</w:t>
            </w:r>
          </w:p>
        </w:tc>
        <w:tc>
          <w:tcPr>
            <w:tcW w:w="1520" w:type="dxa"/>
            <w:shd w:val="clear" w:color="auto" w:fill="1F3A5F"/>
          </w:tcPr>
          <w:p>
            <w:pPr>
              <w:pStyle w:val="Compact"/>
              <w:spacing w:before="20" w:after="20"/>
              <w:jc w:val="left"/>
            </w:pPr>
            <w:r>
              <w:rPr>
                <w:b/>
                <w:color w:val="FFFFFF"/>
                <w:sz w:val="16"/>
              </w:rPr>
              <w:t>1 h (facultatif)</w:t>
            </w:r>
          </w:p>
        </w:tc>
        <w:tc>
          <w:tcPr>
            <w:tcW w:w="620" w:type="dxa"/>
            <w:shd w:val="clear" w:color="auto" w:fill="1F3A5F"/>
          </w:tcPr>
          <w:p>
            <w:pPr>
              <w:pStyle w:val="Compact"/>
              <w:spacing w:before="20" w:after="20"/>
              <w:jc w:val="left"/>
            </w:pPr>
            <w:r>
              <w:rPr>
                <w:b/>
                <w:color w:val="FFFFFF"/>
                <w:sz w:val="16"/>
              </w:rPr>
              <w:t>4 h</w:t>
            </w:r>
          </w:p>
        </w:tc>
        <w:tc>
          <w:tcPr>
            <w:tcW w:w="920" w:type="dxa"/>
            <w:shd w:val="clear" w:color="auto" w:fill="1F3A5F"/>
          </w:tcPr>
          <w:p>
            <w:pPr>
              <w:pStyle w:val="Compact"/>
              <w:spacing w:before="20" w:after="20"/>
              <w:jc w:val="left"/>
            </w:pPr>
            <w:r>
              <w:rPr>
                <w:b/>
                <w:color w:val="FFFFFF"/>
                <w:sz w:val="16"/>
              </w:rPr>
              <w:t>1 jour</w:t>
            </w:r>
          </w:p>
        </w:tc>
        <w:tc>
          <w:tcPr>
            <w:tcW w:w="1020" w:type="dxa"/>
            <w:shd w:val="clear" w:color="auto" w:fill="1F3A5F"/>
          </w:tcPr>
          <w:p>
            <w:pPr>
              <w:pStyle w:val="Compact"/>
              <w:spacing w:before="20" w:after="20"/>
              <w:jc w:val="left"/>
            </w:pPr>
            <w:r>
              <w:rPr>
                <w:b/>
                <w:color w:val="FFFFFF"/>
                <w:sz w:val="16"/>
              </w:rPr>
              <w:t>3 jours</w:t>
            </w:r>
          </w:p>
        </w:tc>
        <w:tc>
          <w:tcPr>
            <w:tcW w:w="1020" w:type="dxa"/>
            <w:shd w:val="clear" w:color="auto" w:fill="1F3A5F"/>
          </w:tcPr>
          <w:p>
            <w:pPr>
              <w:pStyle w:val="Compact"/>
              <w:spacing w:before="20" w:after="20"/>
              <w:jc w:val="left"/>
            </w:pPr>
            <w:r>
              <w:rPr>
                <w:b/>
                <w:color w:val="FFFFFF"/>
                <w:sz w:val="16"/>
              </w:rPr>
              <w:t>1 semaine</w:t>
            </w:r>
          </w:p>
        </w:tc>
        <w:tc>
          <w:tcPr>
            <w:tcW w:w="920" w:type="dxa"/>
            <w:shd w:val="clear" w:color="auto" w:fill="1F3A5F"/>
          </w:tcPr>
          <w:p>
            <w:pPr>
              <w:pStyle w:val="Compact"/>
              <w:spacing w:before="20" w:after="20"/>
              <w:jc w:val="left"/>
            </w:pPr>
            <w:r>
              <w:rPr>
                <w:b/>
                <w:color w:val="FFFFFF"/>
                <w:sz w:val="16"/>
              </w:rPr>
              <w:t>1 mois</w:t>
            </w:r>
          </w:p>
        </w:tc>
      </w:tr>
      <w:tr>
        <w:trPr>
          <w:cantSplit w:val="true"/>
        </w:trPr>
        <w:tc>
          <w:tcPr>
            <w:tcW w:w="3391" w:type="dxa"/>
          </w:tcPr>
          <w:p>
            <w:pPr>
              <w:pStyle w:val="Compact"/>
              <w:spacing w:before="20" w:after="20"/>
              <w:jc w:val="left"/>
            </w:pPr>
            <w:r>
              <w:rPr>
                <w:sz w:val="16"/>
              </w:rPr>
              <w:t>Équivalent en heures</w:t>
            </w:r>
          </w:p>
        </w:tc>
        <w:tc>
          <w:tcPr>
            <w:tcW w:w="1520" w:type="dxa"/>
          </w:tcPr>
          <w:p>
            <w:pPr>
              <w:pStyle w:val="Compact"/>
              <w:spacing w:before="20" w:after="20"/>
              <w:jc w:val="left"/>
            </w:pPr>
            <w:r>
              <w:rPr>
                <w:sz w:val="16"/>
              </w:rPr>
              <w:t>1</w:t>
            </w:r>
          </w:p>
        </w:tc>
        <w:tc>
          <w:tcPr>
            <w:tcW w:w="620" w:type="dxa"/>
          </w:tcPr>
          <w:p>
            <w:pPr>
              <w:pStyle w:val="Compact"/>
              <w:spacing w:before="20" w:after="20"/>
              <w:jc w:val="left"/>
            </w:pPr>
            <w:r>
              <w:rPr>
                <w:sz w:val="16"/>
              </w:rPr>
              <w:t>4</w:t>
            </w:r>
          </w:p>
        </w:tc>
        <w:tc>
          <w:tcPr>
            <w:tcW w:w="920" w:type="dxa"/>
          </w:tcPr>
          <w:p>
            <w:pPr>
              <w:pStyle w:val="Compact"/>
              <w:spacing w:before="20" w:after="20"/>
              <w:jc w:val="left"/>
            </w:pPr>
            <w:r>
              <w:rPr>
                <w:sz w:val="16"/>
              </w:rPr>
              <w:t>24</w:t>
            </w:r>
          </w:p>
        </w:tc>
        <w:tc>
          <w:tcPr>
            <w:tcW w:w="1020" w:type="dxa"/>
          </w:tcPr>
          <w:p>
            <w:pPr>
              <w:pStyle w:val="Compact"/>
              <w:spacing w:before="20" w:after="20"/>
              <w:jc w:val="left"/>
            </w:pPr>
            <w:r>
              <w:rPr>
                <w:sz w:val="16"/>
              </w:rPr>
              <w:t>72</w:t>
            </w:r>
          </w:p>
        </w:tc>
        <w:tc>
          <w:tcPr>
            <w:tcW w:w="1020" w:type="dxa"/>
          </w:tcPr>
          <w:p>
            <w:pPr>
              <w:pStyle w:val="Compact"/>
              <w:spacing w:before="20" w:after="20"/>
              <w:jc w:val="left"/>
            </w:pPr>
            <w:r>
              <w:rPr>
                <w:sz w:val="16"/>
              </w:rPr>
              <w:t>168</w:t>
            </w:r>
          </w:p>
        </w:tc>
        <w:tc>
          <w:tcPr>
            <w:tcW w:w="920" w:type="dxa"/>
          </w:tcPr>
          <w:p>
            <w:pPr>
              <w:pStyle w:val="Compact"/>
              <w:spacing w:before="20" w:after="20"/>
              <w:jc w:val="left"/>
            </w:pPr>
            <w:r>
              <w:rPr>
                <w:sz w:val="16"/>
              </w:rPr>
              <w:t>720</w:t>
            </w:r>
          </w:p>
        </w:tc>
      </w:tr>
    </w:tbl>
    <w:p>
      <w:pPr>
        <w:pStyle w:val="BodyText"/>
      </w:pPr>
      <w:r>
        <w:rPr>
          <w:iCs/>
          <w:i/>
        </w:rPr>
        <w:t>L’horizon d’une heure est à retenir pour les activités qui deviennent critiques en quelques minutes (paiement, réseaux, santé, production continue). L’horizon d’un mois couvre les crises longues, notamment d’origine cyber, où la reconstruction se compte en semaines.</w:t>
      </w:r>
      <w:r>
        <w:t xml:space="preserve"> </w:t>
      </w:r>
      <w:r>
        <w:rPr>
          <w:bCs/>
          <w:b/>
        </w:rPr>
        <w:t>[À VALIDER]</w:t>
      </w:r>
    </w:p>
    <w:p>
      <w:pPr>
        <w:pStyle w:val="BodyText"/>
      </w:pPr>
      <w:r>
        <w:rPr>
          <w:iCs/>
          <w:i/>
        </w:rPr>
        <w:t>Le modèle compte en heures calendaires. Une organisation qui raisonne en heures ouvrées l’indique ici :</w:t>
      </w:r>
      <w:r>
        <w:t xml:space="preserve"> </w:t>
      </w:r>
      <w:r>
        <w:rPr>
          <w:bCs/>
          <w:b/>
        </w:rPr>
        <w:t>[À COMPLÉTER]</w:t>
      </w:r>
    </w:p>
    <w:bookmarkEnd w:id="37"/>
    <w:bookmarkStart w:id="38" w:name="règle-de-lecture-de-la-dmia"/>
    <w:p>
      <w:pPr>
        <w:pStyle w:val="Heading2"/>
      </w:pPr>
      <w:r>
        <w:t>3.4 Règle de lecture de la DMIA</w:t>
      </w:r>
    </w:p>
    <w:p>
      <w:pPr>
        <w:pStyle w:val="BlockText"/>
      </w:pPr>
      <w:r>
        <w:t>La DMIA d’une activité se situe</w:t>
      </w:r>
      <w:r>
        <w:t xml:space="preserve"> </w:t>
      </w:r>
      <w:r>
        <w:rPr>
          <w:bCs/>
          <w:b/>
        </w:rPr>
        <w:t>au premier horizon où l’un des critères atteint le niveau 3 « Grave »</w:t>
      </w:r>
      <w:r>
        <w:t>. Cet horizon donne une borne ; l’entretien la précise, en demandant à quel moment, entre l’horizon précédent et celui-ci, la situation bascule.</w:t>
      </w:r>
    </w:p>
    <w:p>
      <w:pPr>
        <w:pStyle w:val="FirstParagraph"/>
      </w:pPr>
      <w:r>
        <w:rPr>
          <w:bCs/>
          <w:b/>
        </w:rPr>
        <w:t>Règle d’arrêt</w:t>
      </w:r>
      <w:r>
        <w:t xml:space="preserve"> </w:t>
      </w:r>
      <w:r>
        <w:t>: on remplit la courbe d’impact jusqu’au premier niveau « Grave », pas au-delà.</w:t>
      </w:r>
    </w:p>
    <w:bookmarkEnd w:id="38"/>
    <w:bookmarkStart w:id="39" w:name="question-complémentaire-sur-lintégrité"/>
    <w:p>
      <w:pPr>
        <w:pStyle w:val="Heading2"/>
      </w:pPr>
      <w:r>
        <w:t>3.5 Question complémentaire sur l’intégrité</w:t>
      </w:r>
    </w:p>
    <w:p>
      <w:pPr>
        <w:pStyle w:val="FirstParagraph"/>
      </w:pPr>
      <w:r>
        <w:t>Une seule question, posée en fin d’entretien :</w:t>
      </w:r>
      <w:r>
        <w:t xml:space="preserve"> </w:t>
      </w:r>
      <w:r>
        <w:rPr>
          <w:iCs/>
          <w:i/>
        </w:rPr>
        <w:t>« Que se passerait-il si vos données étaient fausses sans que vous le sachiez, et depuis combien de temps pourraient-elles l’être ? »</w:t>
      </w:r>
      <w:r>
        <w:t xml:space="preserve"> </w:t>
      </w:r>
      <w:r>
        <w:t>La réponse éclaire le PRD et le cas, fréquent en cyber, où la dernière sauvegarde réussie n’est pas la dernière sauvegarde saine. La confidentialité relève de la classification des données et n’est pas traitée ici.</w:t>
      </w:r>
    </w:p>
    <w:bookmarkEnd w:id="39"/>
    <w:bookmarkStart w:id="40" w:name="X477f96ff4fad5cb4dbbbcda7102ffa93443db92"/>
    <w:p>
      <w:pPr>
        <w:pStyle w:val="Heading2"/>
      </w:pPr>
      <w:r>
        <w:t>3.6 Écart entre objectif de délai de reprise et DMIA</w:t>
      </w:r>
    </w:p>
    <w:p>
      <w:pPr>
        <w:keepNext/>
        <w:pStyle w:val="FirstParagraph"/>
      </w:pPr>
      <w:r>
        <w:t>ISO 22301 exige seulement que le délai de reprise tienne à l’intérieur de la DMIA. La grille ci-dessous propose un ordre de grandeur, fondé sur la pratique de marché (RTO entre 50 et 75 % de la durée tolérable) et sur les plafonds réglementaires des infrastructures de marché financier (reprise en deux heures, achèvement le jour même).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737"/>
        <w:gridCol w:w="4510"/>
        <w:gridCol w:w="1164"/>
      </w:tblGrid>
      <w:tr>
        <w:trPr>
          <w:tblHeader w:val="true"/>
          <w:cantSplit w:val="true"/>
          <w:tblHeader w:val="true"/>
        </w:trPr>
        <w:tc>
          <w:tcPr>
            <w:tcW w:w="3737" w:type="dxa"/>
            <w:shd w:val="clear" w:color="auto" w:fill="1F3A5F"/>
          </w:tcPr>
          <w:p>
            <w:pPr>
              <w:pStyle w:val="Compact"/>
              <w:spacing w:before="20" w:after="20"/>
              <w:jc w:val="left"/>
            </w:pPr>
            <w:r>
              <w:rPr>
                <w:b/>
                <w:color w:val="FFFFFF"/>
                <w:sz w:val="18"/>
              </w:rPr>
              <w:t>DMIA de l’activité</w:t>
            </w:r>
          </w:p>
        </w:tc>
        <w:tc>
          <w:tcPr>
            <w:tcW w:w="4510" w:type="dxa"/>
            <w:shd w:val="clear" w:color="auto" w:fill="1F3A5F"/>
          </w:tcPr>
          <w:p>
            <w:pPr>
              <w:pStyle w:val="Compact"/>
              <w:spacing w:before="20" w:after="20"/>
              <w:jc w:val="left"/>
            </w:pPr>
            <w:r>
              <w:rPr>
                <w:b/>
                <w:color w:val="FFFFFF"/>
                <w:sz w:val="18"/>
              </w:rPr>
              <w:t>Objectif de délai de reprise par défaut</w:t>
            </w:r>
          </w:p>
        </w:tc>
        <w:tc>
          <w:tcPr>
            <w:tcW w:w="1164" w:type="dxa"/>
            <w:shd w:val="clear" w:color="auto" w:fill="1F3A5F"/>
          </w:tcPr>
          <w:p>
            <w:pPr>
              <w:pStyle w:val="Compact"/>
              <w:spacing w:before="20" w:after="20"/>
              <w:jc w:val="left"/>
            </w:pPr>
            <w:r>
              <w:rPr>
                <w:b/>
                <w:color w:val="FFFFFF"/>
                <w:sz w:val="18"/>
              </w:rPr>
              <w:t>Ratio maximal</w:t>
            </w:r>
          </w:p>
        </w:tc>
      </w:tr>
      <w:tr>
        <w:trPr>
          <w:cantSplit w:val="true"/>
        </w:trPr>
        <w:tc>
          <w:tcPr>
            <w:tcW w:w="3737" w:type="dxa"/>
          </w:tcPr>
          <w:p>
            <w:pPr>
              <w:pStyle w:val="Compact"/>
              <w:spacing w:before="20" w:after="20"/>
              <w:jc w:val="left"/>
            </w:pPr>
            <w:r>
              <w:rPr>
                <w:sz w:val="18"/>
              </w:rPr>
              <w:t>Jusqu’à un jour</w:t>
            </w:r>
          </w:p>
        </w:tc>
        <w:tc>
          <w:tcPr>
            <w:tcW w:w="4510" w:type="dxa"/>
          </w:tcPr>
          <w:p>
            <w:pPr>
              <w:pStyle w:val="Compact"/>
              <w:spacing w:before="20" w:after="20"/>
              <w:jc w:val="left"/>
            </w:pPr>
            <w:r>
              <w:rPr>
                <w:sz w:val="18"/>
              </w:rPr>
              <w:t>Au plus la moitié de la DMIA</w:t>
            </w:r>
          </w:p>
        </w:tc>
        <w:tc>
          <w:tcPr>
            <w:tcW w:w="1164" w:type="dxa"/>
          </w:tcPr>
          <w:p>
            <w:pPr>
              <w:pStyle w:val="Compact"/>
              <w:spacing w:before="20" w:after="20"/>
              <w:jc w:val="left"/>
            </w:pPr>
            <w:r>
              <w:rPr>
                <w:sz w:val="18"/>
              </w:rPr>
              <w:t>50 %</w:t>
            </w:r>
          </w:p>
        </w:tc>
      </w:tr>
      <w:tr>
        <w:trPr>
          <w:cantSplit w:val="true"/>
        </w:trPr>
        <w:tc>
          <w:tcPr>
            <w:tcW w:w="3737" w:type="dxa"/>
            <w:shd w:val="clear" w:color="auto" w:fill="EEF2F6"/>
          </w:tcPr>
          <w:p>
            <w:pPr>
              <w:pStyle w:val="Compact"/>
              <w:spacing w:before="20" w:after="20"/>
              <w:jc w:val="left"/>
            </w:pPr>
            <w:r>
              <w:rPr>
                <w:sz w:val="18"/>
              </w:rPr>
              <w:t>Plus d’un jour, jusqu’à trois jours</w:t>
            </w:r>
          </w:p>
        </w:tc>
        <w:tc>
          <w:tcPr>
            <w:tcW w:w="4510" w:type="dxa"/>
            <w:shd w:val="clear" w:color="auto" w:fill="EEF2F6"/>
          </w:tcPr>
          <w:p>
            <w:pPr>
              <w:pStyle w:val="Compact"/>
              <w:spacing w:before="20" w:after="20"/>
              <w:jc w:val="left"/>
            </w:pPr>
            <w:r>
              <w:rPr>
                <w:sz w:val="18"/>
              </w:rPr>
              <w:t>Entre la moitié et les deux tiers</w:t>
            </w:r>
          </w:p>
        </w:tc>
        <w:tc>
          <w:tcPr>
            <w:tcW w:w="1164" w:type="dxa"/>
            <w:shd w:val="clear" w:color="auto" w:fill="EEF2F6"/>
          </w:tcPr>
          <w:p>
            <w:pPr>
              <w:pStyle w:val="Compact"/>
              <w:spacing w:before="20" w:after="20"/>
              <w:jc w:val="left"/>
            </w:pPr>
            <w:r>
              <w:rPr>
                <w:sz w:val="18"/>
              </w:rPr>
              <w:t>67 %</w:t>
            </w:r>
          </w:p>
        </w:tc>
      </w:tr>
      <w:tr>
        <w:trPr>
          <w:cantSplit w:val="true"/>
        </w:trPr>
        <w:tc>
          <w:tcPr>
            <w:tcW w:w="3737" w:type="dxa"/>
          </w:tcPr>
          <w:p>
            <w:pPr>
              <w:pStyle w:val="Compact"/>
              <w:spacing w:before="20" w:after="20"/>
              <w:jc w:val="left"/>
            </w:pPr>
            <w:r>
              <w:rPr>
                <w:sz w:val="18"/>
              </w:rPr>
              <w:t>Au-delà de trois jours</w:t>
            </w:r>
          </w:p>
        </w:tc>
        <w:tc>
          <w:tcPr>
            <w:tcW w:w="4510" w:type="dxa"/>
          </w:tcPr>
          <w:p>
            <w:pPr>
              <w:pStyle w:val="Compact"/>
              <w:spacing w:before="20" w:after="20"/>
              <w:jc w:val="left"/>
            </w:pPr>
            <w:r>
              <w:rPr>
                <w:sz w:val="18"/>
              </w:rPr>
              <w:t>Jusqu’aux trois quarts</w:t>
            </w:r>
          </w:p>
        </w:tc>
        <w:tc>
          <w:tcPr>
            <w:tcW w:w="1164" w:type="dxa"/>
          </w:tcPr>
          <w:p>
            <w:pPr>
              <w:pStyle w:val="Compact"/>
              <w:spacing w:before="20" w:after="20"/>
              <w:jc w:val="left"/>
            </w:pPr>
            <w:r>
              <w:rPr>
                <w:sz w:val="18"/>
              </w:rPr>
              <w:t>75 %</w:t>
            </w:r>
          </w:p>
        </w:tc>
      </w:tr>
    </w:tbl>
    <w:p>
      <w:pPr>
        <w:pStyle w:val="BodyText"/>
      </w:pPr>
      <w:r>
        <w:rPr>
          <w:bCs/>
          <w:b/>
        </w:rPr>
        <w:t>[À VALIDER]</w:t>
      </w:r>
    </w:p>
    <w:p>
      <w:pPr>
        <w:pStyle w:val="BlockText"/>
      </w:pPr>
      <w:r>
        <w:rPr>
          <w:bCs/>
          <w:b/>
        </w:rPr>
        <w:t>Contrôle de la marge</w:t>
      </w:r>
      <w:r>
        <w:t xml:space="preserve"> </w:t>
      </w:r>
      <w:r>
        <w:t>: demander au métier combien de temps il lui faudra, une fois l’activité reprise, pour rattraper le retard accumulé. Si la réponse dépasse la marge (DMIA − RTO), c’est le RTO qu’il faut raccourcir.</w:t>
      </w:r>
    </w:p>
    <w:p>
      <w:r>
        <w:pict>
          <v:rect style="width:0;height:1.5pt" o:hralign="center" o:hrstd="t" o:hr="t"/>
        </w:pict>
      </w:r>
    </w:p>
    <w:bookmarkEnd w:id="40"/>
    <w:bookmarkEnd w:id="41"/>
    <w:bookmarkStart w:id="42" w:name="registre-des-services"/>
    <w:p>
      <w:pPr>
        <w:pStyle w:val="Heading1"/>
      </w:pPr>
      <w:r>
        <w:t>4. Registre des services</w:t>
      </w:r>
    </w:p>
    <w:p>
      <w:pPr>
        <w:keepNext/>
        <w:pStyle w:val="FirstParagraph"/>
      </w:pPr>
      <w:r>
        <w:rPr>
          <w:iCs/>
          <w:i/>
        </w:rPr>
        <w:t>Étape 3. Atelier avec la direction ; l’équipe d’analyse prépare une première liste.</w:t>
      </w:r>
      <w:r>
        <w:rPr>
          <w:iCs/>
          <w:i/>
        </w:rPr>
        <w:t xml:space="preserve"> </w:t>
      </w:r>
      <w:r>
        <w:rPr>
          <w:bCs/>
          <w:b/>
          <w:iCs/>
          <w:i/>
        </w:rPr>
        <w:t>Tous</w:t>
      </w:r>
      <w:r>
        <w:rPr>
          <w:iCs/>
          <w:i/>
        </w:rPr>
        <w:t xml:space="preserve"> </w:t>
      </w:r>
      <w:r>
        <w:rPr>
          <w:iCs/>
          <w:i/>
        </w:rPr>
        <w:t>les services reçoivent une DMIA et un PRD, prioritaires ou non.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20"/>
        <w:gridCol w:w="1620"/>
        <w:gridCol w:w="1520"/>
        <w:gridCol w:w="720"/>
        <w:gridCol w:w="620"/>
        <w:gridCol w:w="1767"/>
        <w:gridCol w:w="1223"/>
        <w:gridCol w:w="1421"/>
      </w:tblGrid>
      <w:tr>
        <w:trPr>
          <w:tblHeader w:val="true"/>
          <w:cantSplit w:val="true"/>
          <w:tblHeader w:val="true"/>
        </w:trPr>
        <w:tc>
          <w:tcPr>
            <w:tcW w:w="520" w:type="dxa"/>
            <w:shd w:val="clear" w:color="auto" w:fill="1F3A5F"/>
          </w:tcPr>
          <w:p>
            <w:pPr>
              <w:pStyle w:val="Compact"/>
              <w:spacing w:before="20" w:after="20"/>
              <w:jc w:val="left"/>
            </w:pPr>
            <w:r>
              <w:rPr>
                <w:b/>
                <w:color w:val="FFFFFF"/>
                <w:sz w:val="16"/>
              </w:rPr>
              <w:t>ID</w:t>
            </w:r>
          </w:p>
        </w:tc>
        <w:tc>
          <w:tcPr>
            <w:tcW w:w="1620" w:type="dxa"/>
            <w:shd w:val="clear" w:color="auto" w:fill="1F3A5F"/>
          </w:tcPr>
          <w:p>
            <w:pPr>
              <w:pStyle w:val="Compact"/>
              <w:spacing w:before="20" w:after="20"/>
              <w:jc w:val="left"/>
            </w:pPr>
            <w:r>
              <w:rPr>
                <w:b/>
                <w:color w:val="FFFFFF"/>
                <w:sz w:val="16"/>
              </w:rPr>
              <w:t>Service rendu</w:t>
            </w:r>
          </w:p>
        </w:tc>
        <w:tc>
          <w:tcPr>
            <w:tcW w:w="1520" w:type="dxa"/>
            <w:shd w:val="clear" w:color="auto" w:fill="1F3A5F"/>
          </w:tcPr>
          <w:p>
            <w:pPr>
              <w:pStyle w:val="Compact"/>
              <w:spacing w:before="20" w:after="20"/>
              <w:jc w:val="left"/>
            </w:pPr>
            <w:r>
              <w:rPr>
                <w:b/>
                <w:color w:val="FFFFFF"/>
                <w:sz w:val="16"/>
              </w:rPr>
              <w:t>Propriétaire</w:t>
            </w:r>
          </w:p>
        </w:tc>
        <w:tc>
          <w:tcPr>
            <w:tcW w:w="720" w:type="dxa"/>
            <w:shd w:val="clear" w:color="auto" w:fill="1F3A5F"/>
          </w:tcPr>
          <w:p>
            <w:pPr>
              <w:pStyle w:val="Compact"/>
              <w:spacing w:before="20" w:after="20"/>
              <w:jc w:val="left"/>
            </w:pPr>
            <w:r>
              <w:rPr>
                <w:b/>
                <w:color w:val="FFFFFF"/>
                <w:sz w:val="16"/>
              </w:rPr>
              <w:t>DMIA</w:t>
            </w:r>
          </w:p>
        </w:tc>
        <w:tc>
          <w:tcPr>
            <w:tcW w:w="620" w:type="dxa"/>
            <w:shd w:val="clear" w:color="auto" w:fill="1F3A5F"/>
          </w:tcPr>
          <w:p>
            <w:pPr>
              <w:pStyle w:val="Compact"/>
              <w:spacing w:before="20" w:after="20"/>
              <w:jc w:val="left"/>
            </w:pPr>
            <w:r>
              <w:rPr>
                <w:b/>
                <w:color w:val="FFFFFF"/>
                <w:sz w:val="16"/>
              </w:rPr>
              <w:t>PRD</w:t>
            </w:r>
          </w:p>
        </w:tc>
        <w:tc>
          <w:tcPr>
            <w:tcW w:w="1767" w:type="dxa"/>
            <w:shd w:val="clear" w:color="auto" w:fill="1F3A5F"/>
          </w:tcPr>
          <w:p>
            <w:pPr>
              <w:pStyle w:val="Compact"/>
              <w:spacing w:before="20" w:after="20"/>
              <w:jc w:val="left"/>
            </w:pPr>
            <w:r>
              <w:rPr>
                <w:b/>
                <w:color w:val="FFFFFF"/>
                <w:sz w:val="16"/>
              </w:rPr>
              <w:t>Niveau minimal de continuité</w:t>
            </w:r>
          </w:p>
        </w:tc>
        <w:tc>
          <w:tcPr>
            <w:tcW w:w="1223" w:type="dxa"/>
            <w:shd w:val="clear" w:color="auto" w:fill="1F3A5F"/>
          </w:tcPr>
          <w:p>
            <w:pPr>
              <w:pStyle w:val="Compact"/>
              <w:spacing w:before="20" w:after="20"/>
              <w:jc w:val="left"/>
            </w:pPr>
            <w:r>
              <w:rPr>
                <w:b/>
                <w:color w:val="FFFFFF"/>
                <w:sz w:val="16"/>
              </w:rPr>
              <w:t>Périodes critiques</w:t>
            </w:r>
          </w:p>
        </w:tc>
        <w:tc>
          <w:tcPr>
            <w:tcW w:w="1421" w:type="dxa"/>
            <w:shd w:val="clear" w:color="auto" w:fill="1F3A5F"/>
          </w:tcPr>
          <w:p>
            <w:pPr>
              <w:pStyle w:val="Compact"/>
              <w:spacing w:before="20" w:after="20"/>
              <w:jc w:val="left"/>
            </w:pPr>
            <w:r>
              <w:rPr>
                <w:b/>
                <w:color w:val="FFFFFF"/>
                <w:sz w:val="16"/>
              </w:rPr>
              <w:t>Prioritaire</w:t>
            </w:r>
          </w:p>
        </w:tc>
      </w:tr>
      <w:tr>
        <w:trPr>
          <w:cantSplit w:val="true"/>
        </w:trPr>
        <w:tc>
          <w:tcPr>
            <w:tcW w:w="520" w:type="dxa"/>
          </w:tcPr>
          <w:p>
            <w:pPr>
              <w:pStyle w:val="Compact"/>
              <w:spacing w:before="20" w:after="20"/>
              <w:jc w:val="left"/>
            </w:pPr>
            <w:r>
              <w:rPr>
                <w:sz w:val="16"/>
              </w:rPr>
              <w:t>S1</w:t>
            </w:r>
          </w:p>
        </w:tc>
        <w:tc>
          <w:tcPr>
            <w:tcW w:w="1620" w:type="dxa"/>
          </w:tcPr>
          <w:p>
            <w:pPr>
              <w:pStyle w:val="Compact"/>
              <w:spacing w:before="20" w:after="20"/>
              <w:jc w:val="left"/>
            </w:pPr>
            <w:r>
              <w:rPr>
                <w:rStyle w:val="VerbatimChar"/>
                <w:sz w:val="16"/>
                <w:b/>
                <w:color w:val="8A5A00"/>
              </w:rPr>
              <w:t>{{SERVICE_1}}</w:t>
            </w:r>
          </w:p>
        </w:tc>
        <w:tc>
          <w:tcPr>
            <w:tcW w:w="1520" w:type="dxa"/>
          </w:tcPr>
          <w:p>
            <w:pPr>
              <w:pStyle w:val="Compact"/>
              <w:spacing w:before="20" w:after="20"/>
              <w:jc w:val="left"/>
            </w:pPr>
            <w:r>
              <w:rPr>
                <w:rStyle w:val="VerbatimChar"/>
                <w:sz w:val="16"/>
                <w:b/>
                <w:color w:val="8A5A00"/>
              </w:rPr>
              <w:t>{{FONCTION}}</w:t>
            </w:r>
          </w:p>
        </w:tc>
        <w:tc>
          <w:tcPr>
            <w:tcW w:w="720" w:type="dxa"/>
          </w:tcPr>
          <w:p>
            <w:pPr>
              <w:pStyle w:val="Compact"/>
              <w:spacing w:before="20" w:after="20"/>
            </w:pPr>
          </w:p>
        </w:tc>
        <w:tc>
          <w:tcPr>
            <w:tcW w:w="620" w:type="dxa"/>
          </w:tcPr>
          <w:p>
            <w:pPr>
              <w:pStyle w:val="Compact"/>
              <w:spacing w:before="20" w:after="20"/>
            </w:pPr>
          </w:p>
        </w:tc>
        <w:tc>
          <w:tcPr>
            <w:tcW w:w="1767" w:type="dxa"/>
          </w:tcPr>
          <w:p>
            <w:pPr>
              <w:pStyle w:val="Compact"/>
              <w:spacing w:before="20" w:after="20"/>
            </w:pPr>
          </w:p>
        </w:tc>
        <w:tc>
          <w:tcPr>
            <w:tcW w:w="1223" w:type="dxa"/>
          </w:tcPr>
          <w:p>
            <w:pPr>
              <w:pStyle w:val="Compact"/>
              <w:spacing w:before="20" w:after="20"/>
            </w:pPr>
          </w:p>
        </w:tc>
        <w:tc>
          <w:tcPr>
            <w:tcW w:w="1421" w:type="dxa"/>
          </w:tcPr>
          <w:p>
            <w:pPr>
              <w:pStyle w:val="Compact"/>
              <w:spacing w:before="20" w:after="20"/>
              <w:jc w:val="left"/>
            </w:pPr>
            <w:r>
              <w:rPr>
                <w:sz w:val="16"/>
              </w:rPr>
              <w:t>☐ Oui ☐ Non</w:t>
            </w:r>
          </w:p>
        </w:tc>
      </w:tr>
      <w:tr>
        <w:trPr>
          <w:cantSplit w:val="true"/>
        </w:trPr>
        <w:tc>
          <w:tcPr>
            <w:tcW w:w="520" w:type="dxa"/>
            <w:shd w:val="clear" w:color="auto" w:fill="EEF2F6"/>
          </w:tcPr>
          <w:p>
            <w:pPr>
              <w:pStyle w:val="Compact"/>
              <w:spacing w:before="20" w:after="20"/>
              <w:jc w:val="left"/>
            </w:pPr>
            <w:r>
              <w:rPr>
                <w:sz w:val="16"/>
              </w:rPr>
              <w:t>S2</w:t>
            </w:r>
          </w:p>
        </w:tc>
        <w:tc>
          <w:tcPr>
            <w:tcW w:w="1620" w:type="dxa"/>
            <w:shd w:val="clear" w:color="auto" w:fill="EEF2F6"/>
          </w:tcPr>
          <w:p>
            <w:pPr>
              <w:pStyle w:val="Compact"/>
              <w:spacing w:before="20" w:after="20"/>
              <w:jc w:val="left"/>
            </w:pPr>
            <w:r>
              <w:rPr>
                <w:rStyle w:val="VerbatimChar"/>
                <w:sz w:val="16"/>
                <w:b/>
                <w:color w:val="8A5A00"/>
              </w:rPr>
              <w:t>{{SERVICE_2}}</w:t>
            </w:r>
          </w:p>
        </w:tc>
        <w:tc>
          <w:tcPr>
            <w:tcW w:w="1520" w:type="dxa"/>
            <w:shd w:val="clear" w:color="auto" w:fill="EEF2F6"/>
          </w:tcPr>
          <w:p>
            <w:pPr>
              <w:pStyle w:val="Compact"/>
              <w:spacing w:before="20" w:after="20"/>
              <w:jc w:val="left"/>
            </w:pPr>
            <w:r>
              <w:rPr>
                <w:rStyle w:val="VerbatimChar"/>
                <w:sz w:val="16"/>
                <w:b/>
                <w:color w:val="8A5A00"/>
              </w:rPr>
              <w:t>{{FONCTION}}</w:t>
            </w:r>
          </w:p>
        </w:tc>
        <w:tc>
          <w:tcPr>
            <w:tcW w:w="7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1767" w:type="dxa"/>
            <w:shd w:val="clear" w:color="auto" w:fill="EEF2F6"/>
          </w:tcPr>
          <w:p>
            <w:pPr>
              <w:pStyle w:val="Compact"/>
              <w:spacing w:before="20" w:after="20"/>
            </w:pPr>
          </w:p>
        </w:tc>
        <w:tc>
          <w:tcPr>
            <w:tcW w:w="1223" w:type="dxa"/>
            <w:shd w:val="clear" w:color="auto" w:fill="EEF2F6"/>
          </w:tcPr>
          <w:p>
            <w:pPr>
              <w:pStyle w:val="Compact"/>
              <w:spacing w:before="20" w:after="20"/>
            </w:pPr>
          </w:p>
        </w:tc>
        <w:tc>
          <w:tcPr>
            <w:tcW w:w="1421" w:type="dxa"/>
            <w:shd w:val="clear" w:color="auto" w:fill="EEF2F6"/>
          </w:tcPr>
          <w:p>
            <w:pPr>
              <w:pStyle w:val="Compact"/>
              <w:spacing w:before="20" w:after="20"/>
              <w:jc w:val="left"/>
            </w:pPr>
            <w:r>
              <w:rPr>
                <w:sz w:val="16"/>
              </w:rPr>
              <w:t>☐ Oui ☐ Non</w:t>
            </w:r>
          </w:p>
        </w:tc>
      </w:tr>
      <w:tr>
        <w:trPr>
          <w:cantSplit w:val="true"/>
        </w:trPr>
        <w:tc>
          <w:tcPr>
            <w:tcW w:w="520" w:type="dxa"/>
          </w:tcPr>
          <w:p>
            <w:pPr>
              <w:pStyle w:val="Compact"/>
              <w:spacing w:before="20" w:after="20"/>
              <w:jc w:val="left"/>
            </w:pPr>
            <w:r>
              <w:rPr>
                <w:sz w:val="16"/>
              </w:rPr>
              <w:t>S3</w:t>
            </w:r>
          </w:p>
        </w:tc>
        <w:tc>
          <w:tcPr>
            <w:tcW w:w="1620" w:type="dxa"/>
          </w:tcPr>
          <w:p>
            <w:pPr>
              <w:pStyle w:val="Compact"/>
              <w:spacing w:before="20" w:after="20"/>
              <w:jc w:val="left"/>
            </w:pPr>
            <w:r>
              <w:rPr>
                <w:rStyle w:val="VerbatimChar"/>
                <w:sz w:val="16"/>
                <w:b/>
                <w:color w:val="8A5A00"/>
              </w:rPr>
              <w:t>{{SERVICE_3}}</w:t>
            </w:r>
          </w:p>
        </w:tc>
        <w:tc>
          <w:tcPr>
            <w:tcW w:w="1520" w:type="dxa"/>
          </w:tcPr>
          <w:p>
            <w:pPr>
              <w:pStyle w:val="Compact"/>
              <w:spacing w:before="20" w:after="20"/>
              <w:jc w:val="left"/>
            </w:pPr>
            <w:r>
              <w:rPr>
                <w:rStyle w:val="VerbatimChar"/>
                <w:sz w:val="16"/>
                <w:b/>
                <w:color w:val="8A5A00"/>
              </w:rPr>
              <w:t>{{FONCTION}}</w:t>
            </w:r>
          </w:p>
        </w:tc>
        <w:tc>
          <w:tcPr>
            <w:tcW w:w="720" w:type="dxa"/>
          </w:tcPr>
          <w:p>
            <w:pPr>
              <w:pStyle w:val="Compact"/>
              <w:spacing w:before="20" w:after="20"/>
            </w:pPr>
          </w:p>
        </w:tc>
        <w:tc>
          <w:tcPr>
            <w:tcW w:w="620" w:type="dxa"/>
          </w:tcPr>
          <w:p>
            <w:pPr>
              <w:pStyle w:val="Compact"/>
              <w:spacing w:before="20" w:after="20"/>
            </w:pPr>
          </w:p>
        </w:tc>
        <w:tc>
          <w:tcPr>
            <w:tcW w:w="1767" w:type="dxa"/>
          </w:tcPr>
          <w:p>
            <w:pPr>
              <w:pStyle w:val="Compact"/>
              <w:spacing w:before="20" w:after="20"/>
            </w:pPr>
          </w:p>
        </w:tc>
        <w:tc>
          <w:tcPr>
            <w:tcW w:w="1223" w:type="dxa"/>
          </w:tcPr>
          <w:p>
            <w:pPr>
              <w:pStyle w:val="Compact"/>
              <w:spacing w:before="20" w:after="20"/>
            </w:pPr>
          </w:p>
        </w:tc>
        <w:tc>
          <w:tcPr>
            <w:tcW w:w="1421" w:type="dxa"/>
          </w:tcPr>
          <w:p>
            <w:pPr>
              <w:pStyle w:val="Compact"/>
              <w:spacing w:before="20" w:after="20"/>
              <w:jc w:val="left"/>
            </w:pPr>
            <w:r>
              <w:rPr>
                <w:sz w:val="16"/>
              </w:rPr>
              <w:t>☐ Oui ☐ Non</w:t>
            </w:r>
          </w:p>
        </w:tc>
      </w:tr>
      <w:tr>
        <w:trPr>
          <w:cantSplit w:val="true"/>
        </w:trPr>
        <w:tc>
          <w:tcPr>
            <w:tcW w:w="520" w:type="dxa"/>
            <w:shd w:val="clear" w:color="auto" w:fill="EEF2F6"/>
          </w:tcPr>
          <w:p>
            <w:pPr>
              <w:pStyle w:val="Compact"/>
              <w:spacing w:before="20" w:after="20"/>
              <w:jc w:val="left"/>
            </w:pPr>
            <w:r>
              <w:rPr>
                <w:sz w:val="16"/>
              </w:rPr>
              <w:t>…</w:t>
            </w:r>
          </w:p>
        </w:tc>
        <w:tc>
          <w:tcPr>
            <w:tcW w:w="1620" w:type="dxa"/>
            <w:shd w:val="clear" w:color="auto" w:fill="EEF2F6"/>
          </w:tcPr>
          <w:p>
            <w:pPr>
              <w:pStyle w:val="Compact"/>
              <w:spacing w:before="20" w:after="20"/>
            </w:pPr>
          </w:p>
        </w:tc>
        <w:tc>
          <w:tcPr>
            <w:tcW w:w="1520" w:type="dxa"/>
            <w:shd w:val="clear" w:color="auto" w:fill="EEF2F6"/>
          </w:tcPr>
          <w:p>
            <w:pPr>
              <w:pStyle w:val="Compact"/>
              <w:spacing w:before="20" w:after="20"/>
            </w:pPr>
          </w:p>
        </w:tc>
        <w:tc>
          <w:tcPr>
            <w:tcW w:w="7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1767" w:type="dxa"/>
            <w:shd w:val="clear" w:color="auto" w:fill="EEF2F6"/>
          </w:tcPr>
          <w:p>
            <w:pPr>
              <w:pStyle w:val="Compact"/>
              <w:spacing w:before="20" w:after="20"/>
            </w:pPr>
          </w:p>
        </w:tc>
        <w:tc>
          <w:tcPr>
            <w:tcW w:w="1223" w:type="dxa"/>
            <w:shd w:val="clear" w:color="auto" w:fill="EEF2F6"/>
          </w:tcPr>
          <w:p>
            <w:pPr>
              <w:pStyle w:val="Compact"/>
              <w:spacing w:before="20" w:after="20"/>
            </w:pPr>
          </w:p>
        </w:tc>
        <w:tc>
          <w:tcPr>
            <w:tcW w:w="1421" w:type="dxa"/>
            <w:shd w:val="clear" w:color="auto" w:fill="EEF2F6"/>
          </w:tcPr>
          <w:p>
            <w:pPr>
              <w:pStyle w:val="Compact"/>
              <w:spacing w:before="20" w:after="20"/>
            </w:pPr>
          </w:p>
        </w:tc>
      </w:tr>
    </w:tbl>
    <w:p>
      <w:pPr>
        <w:pStyle w:val="BodyText"/>
      </w:pPr>
      <w:r>
        <w:rPr>
          <w:bCs/>
          <w:b/>
        </w:rPr>
        <w:t>Critères de priorité</w:t>
      </w:r>
      <w:r>
        <w:t xml:space="preserve"> </w:t>
      </w:r>
      <w:r>
        <w:t>proposés</w:t>
      </w:r>
      <w:r>
        <w:t xml:space="preserve"> </w:t>
      </w:r>
      <w:r>
        <w:rPr>
          <w:bCs/>
          <w:b/>
        </w:rPr>
        <w:t>[À VALIDER]</w:t>
      </w:r>
      <w:r>
        <w:t xml:space="preserve"> </w:t>
      </w:r>
      <w:r>
        <w:t>: un service est prioritaire si sa DMIA est inférieure ou égale à</w:t>
      </w:r>
      <w:r>
        <w:t xml:space="preserve"> </w:t>
      </w:r>
      <w:r>
        <w:rPr>
          <w:bCs/>
          <w:b/>
        </w:rPr>
        <w:t>[une semaine]</w:t>
      </w:r>
      <w:r>
        <w:t>, ou s’il porte une obligation légale ou contractuelle forte, ou si la direction le décide.</w:t>
      </w:r>
    </w:p>
    <w:p>
      <w:pPr>
        <w:pStyle w:val="BlockText"/>
      </w:pPr>
      <w:r>
        <w:rPr>
          <w:bCs/>
          <w:b/>
        </w:rPr>
        <w:t>Règle d’héritage</w:t>
      </w:r>
      <w:r>
        <w:t xml:space="preserve"> </w:t>
      </w:r>
      <w:r>
        <w:t>: les activités d’un service</w:t>
      </w:r>
      <w:r>
        <w:t xml:space="preserve"> </w:t>
      </w:r>
      <w:r>
        <w:rPr>
          <w:bCs/>
          <w:b/>
        </w:rPr>
        <w:t>non prioritaire</w:t>
      </w:r>
      <w:r>
        <w:t xml:space="preserve"> </w:t>
      </w:r>
      <w:r>
        <w:t>prennent par défaut sa DMIA et son PRD, sans entretien, jusqu’à ce qu’un besoin particulier justifie de les analyser. Elles sont inscrites au registre des activités avec la mention « Héritage ».</w:t>
      </w:r>
    </w:p>
    <w:p>
      <w:r>
        <w:pict>
          <v:rect style="width:0;height:1.5pt" o:hralign="center" o:hrstd="t" o:hr="t"/>
        </w:pict>
      </w:r>
    </w:p>
    <w:bookmarkEnd w:id="42"/>
    <w:bookmarkStart w:id="45" w:name="analyse-des-activités"/>
    <w:p>
      <w:pPr>
        <w:pStyle w:val="Heading1"/>
      </w:pPr>
      <w:r>
        <w:t>5. Analyse des activités</w:t>
      </w:r>
    </w:p>
    <w:p>
      <w:pPr>
        <w:pStyle w:val="FirstParagraph"/>
      </w:pPr>
      <w:r>
        <w:rPr>
          <w:iCs/>
          <w:i/>
        </w:rPr>
        <w:t>Étape 4. Entretien de soixante à quatre-vingt-dix minutes avec chaque responsable, pour l’ensemble de ses activités, sur la base d’une fiche préremplie. Guide d’entretien en annexe A.</w:t>
      </w:r>
    </w:p>
    <w:bookmarkStart w:id="43" w:name="X95defb14cd61a0df54b2c49be10c45f11b82901"/>
    <w:p>
      <w:pPr>
        <w:keepNext/>
        <w:pStyle w:val="Heading2"/>
      </w:pPr>
      <w:r>
        <w:t>5.1 Fiche d’analyse d’activité (une page par activité)</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6092"/>
        <w:gridCol w:w="3319"/>
      </w:tblGrid>
      <w:tr>
        <w:trPr>
          <w:tblHeader w:val="true"/>
          <w:cantSplit w:val="true"/>
          <w:tblHeader w:val="true"/>
        </w:trPr>
        <w:tc>
          <w:tcPr>
            <w:tcW w:w="6092" w:type="dxa"/>
            <w:shd w:val="clear" w:color="auto" w:fill="1F3A5F"/>
          </w:tcPr>
          <w:p>
            <w:pPr>
              <w:pStyle w:val="Compact"/>
              <w:spacing w:before="20" w:after="20"/>
              <w:jc w:val="left"/>
            </w:pPr>
            <w:r>
              <w:rPr>
                <w:b/>
                <w:color w:val="FFFFFF"/>
                <w:sz w:val="18"/>
              </w:rPr>
              <w:t>Rubrique</w:t>
            </w:r>
          </w:p>
        </w:tc>
        <w:tc>
          <w:tcPr>
            <w:tcW w:w="3319" w:type="dxa"/>
            <w:shd w:val="clear" w:color="auto" w:fill="1F3A5F"/>
          </w:tcPr>
          <w:p>
            <w:pPr>
              <w:pStyle w:val="Compact"/>
              <w:spacing w:before="20" w:after="20"/>
              <w:jc w:val="left"/>
            </w:pPr>
            <w:r>
              <w:rPr>
                <w:b/>
                <w:color w:val="FFFFFF"/>
                <w:sz w:val="18"/>
              </w:rPr>
              <w:t>Contenu</w:t>
            </w:r>
          </w:p>
        </w:tc>
      </w:tr>
      <w:tr>
        <w:trPr>
          <w:cantSplit w:val="true"/>
        </w:trPr>
        <w:tc>
          <w:tcPr>
            <w:tcW w:w="6092" w:type="dxa"/>
          </w:tcPr>
          <w:p>
            <w:pPr>
              <w:pStyle w:val="Compact"/>
              <w:spacing w:before="20" w:after="20"/>
              <w:jc w:val="left"/>
            </w:pPr>
            <w:r>
              <w:rPr>
                <w:sz w:val="18"/>
              </w:rPr>
              <w:t>Identifiant et intitulé</w:t>
            </w:r>
          </w:p>
        </w:tc>
        <w:tc>
          <w:tcPr>
            <w:tcW w:w="3319" w:type="dxa"/>
          </w:tcPr>
          <w:p>
            <w:pPr>
              <w:pStyle w:val="Compact"/>
              <w:spacing w:before="20" w:after="20"/>
              <w:jc w:val="left"/>
            </w:pPr>
            <w:r>
              <w:rPr>
                <w:sz w:val="18"/>
              </w:rPr>
              <w:t>A</w:t>
            </w:r>
            <w:r>
              <w:rPr>
                <w:rStyle w:val="VerbatimChar"/>
                <w:sz w:val="18"/>
                <w:b/>
                <w:color w:val="8A5A00"/>
              </w:rPr>
              <w:t>{{n}}</w:t>
            </w:r>
            <w:r>
              <w:rPr>
                <w:sz w:val="18"/>
              </w:rPr>
              <w:t xml:space="preserve"> </w:t>
            </w:r>
            <w:r>
              <w:rPr>
                <w:sz w:val="18"/>
              </w:rPr>
              <w:t>—</w:t>
            </w:r>
            <w:r>
              <w:rPr>
                <w:sz w:val="18"/>
              </w:rPr>
              <w:t xml:space="preserve"> </w:t>
            </w:r>
            <w:r>
              <w:rPr>
                <w:rStyle w:val="VerbatimChar"/>
                <w:sz w:val="18"/>
                <w:b/>
                <w:color w:val="8A5A00"/>
              </w:rPr>
              <w:t>{{ACTIVITE}}</w:t>
            </w:r>
          </w:p>
        </w:tc>
      </w:tr>
      <w:tr>
        <w:trPr>
          <w:cantSplit w:val="true"/>
        </w:trPr>
        <w:tc>
          <w:tcPr>
            <w:tcW w:w="6092" w:type="dxa"/>
            <w:shd w:val="clear" w:color="auto" w:fill="EEF2F6"/>
          </w:tcPr>
          <w:p>
            <w:pPr>
              <w:pStyle w:val="Compact"/>
              <w:spacing w:before="20" w:after="20"/>
              <w:jc w:val="left"/>
            </w:pPr>
            <w:r>
              <w:rPr>
                <w:sz w:val="18"/>
              </w:rPr>
              <w:t>Service(s) servi(s)</w:t>
            </w:r>
          </w:p>
        </w:tc>
        <w:tc>
          <w:tcPr>
            <w:tcW w:w="3319" w:type="dxa"/>
            <w:shd w:val="clear" w:color="auto" w:fill="EEF2F6"/>
          </w:tcPr>
          <w:p>
            <w:pPr>
              <w:pStyle w:val="Compact"/>
              <w:spacing w:before="20" w:after="20"/>
              <w:jc w:val="left"/>
            </w:pPr>
            <w:r>
              <w:rPr>
                <w:sz w:val="18"/>
              </w:rPr>
              <w:t>S</w:t>
            </w:r>
            <w:r>
              <w:rPr>
                <w:rStyle w:val="VerbatimChar"/>
                <w:sz w:val="18"/>
                <w:b/>
                <w:color w:val="8A5A00"/>
              </w:rPr>
              <w:t>{{n}}</w:t>
            </w:r>
          </w:p>
        </w:tc>
      </w:tr>
      <w:tr>
        <w:trPr>
          <w:cantSplit w:val="true"/>
        </w:trPr>
        <w:tc>
          <w:tcPr>
            <w:tcW w:w="6092" w:type="dxa"/>
          </w:tcPr>
          <w:p>
            <w:pPr>
              <w:pStyle w:val="Compact"/>
              <w:spacing w:before="20" w:after="20"/>
              <w:jc w:val="left"/>
            </w:pPr>
            <w:r>
              <w:rPr>
                <w:sz w:val="18"/>
              </w:rPr>
              <w:t>Responsable (fonction)</w:t>
            </w:r>
          </w:p>
        </w:tc>
        <w:tc>
          <w:tcPr>
            <w:tcW w:w="3319" w:type="dxa"/>
          </w:tcPr>
          <w:p>
            <w:pPr>
              <w:pStyle w:val="Compact"/>
              <w:spacing w:before="20" w:after="20"/>
              <w:jc w:val="left"/>
            </w:pPr>
            <w:r>
              <w:rPr>
                <w:rStyle w:val="VerbatimChar"/>
                <w:sz w:val="18"/>
                <w:b/>
                <w:color w:val="8A5A00"/>
              </w:rPr>
              <w:t>{{FONCTION}}</w:t>
            </w:r>
          </w:p>
        </w:tc>
      </w:tr>
      <w:tr>
        <w:trPr>
          <w:cantSplit w:val="true"/>
        </w:trPr>
        <w:tc>
          <w:tcPr>
            <w:tcW w:w="6092" w:type="dxa"/>
            <w:shd w:val="clear" w:color="auto" w:fill="EEF2F6"/>
          </w:tcPr>
          <w:p>
            <w:pPr>
              <w:pStyle w:val="Compact"/>
              <w:spacing w:before="20" w:after="20"/>
              <w:jc w:val="left"/>
            </w:pPr>
            <w:r>
              <w:rPr>
                <w:sz w:val="18"/>
              </w:rPr>
              <w:t>Date de l’entretien</w:t>
            </w:r>
          </w:p>
        </w:tc>
        <w:tc>
          <w:tcPr>
            <w:tcW w:w="3319" w:type="dxa"/>
            <w:shd w:val="clear" w:color="auto" w:fill="EEF2F6"/>
          </w:tcPr>
          <w:p>
            <w:pPr>
              <w:pStyle w:val="Compact"/>
              <w:spacing w:before="20" w:after="20"/>
              <w:jc w:val="left"/>
            </w:pPr>
            <w:r>
              <w:rPr>
                <w:rStyle w:val="VerbatimChar"/>
                <w:sz w:val="18"/>
                <w:b/>
                <w:color w:val="8A5A00"/>
              </w:rPr>
              <w:t>{{JJ/MM/AAAA}}</w:t>
            </w:r>
          </w:p>
        </w:tc>
      </w:tr>
      <w:tr>
        <w:trPr>
          <w:cantSplit w:val="true"/>
        </w:trPr>
        <w:tc>
          <w:tcPr>
            <w:tcW w:w="6092" w:type="dxa"/>
          </w:tcPr>
          <w:p>
            <w:pPr>
              <w:pStyle w:val="Compact"/>
              <w:spacing w:before="20" w:after="20"/>
              <w:jc w:val="left"/>
            </w:pPr>
            <w:r>
              <w:rPr>
                <w:sz w:val="18"/>
              </w:rPr>
              <w:t>Hypothèses rappelées</w:t>
            </w:r>
          </w:p>
        </w:tc>
        <w:tc>
          <w:tcPr>
            <w:tcW w:w="3319" w:type="dxa"/>
          </w:tcPr>
          <w:p>
            <w:pPr>
              <w:pStyle w:val="Compact"/>
              <w:spacing w:before="20" w:after="20"/>
              <w:jc w:val="left"/>
            </w:pPr>
            <w:r>
              <w:rPr>
                <w:sz w:val="18"/>
              </w:rPr>
              <w:t>☐ H1 ☐ H2 ☐ H3</w:t>
            </w:r>
          </w:p>
        </w:tc>
      </w:tr>
    </w:tbl>
    <w:p>
      <w:pPr>
        <w:keepNext/>
        <w:pStyle w:val="BodyText"/>
      </w:pPr>
      <w:r>
        <w:rPr>
          <w:bCs/>
          <w:b/>
        </w:rPr>
        <w:t>Courbe d’impact</w:t>
      </w:r>
      <w:r>
        <w:t xml:space="preserve"> </w:t>
      </w:r>
      <w:r>
        <w:t>— niveau de 1 à 4 par critère et par horizon (s’arrêter au premier niveau 3)</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091"/>
        <w:gridCol w:w="620"/>
        <w:gridCol w:w="620"/>
        <w:gridCol w:w="620"/>
        <w:gridCol w:w="620"/>
        <w:gridCol w:w="920"/>
        <w:gridCol w:w="920"/>
      </w:tblGrid>
      <w:tr>
        <w:trPr>
          <w:tblHeader w:val="true"/>
          <w:cantSplit w:val="true"/>
          <w:tblHeader w:val="true"/>
        </w:trPr>
        <w:tc>
          <w:tcPr>
            <w:tcW w:w="5091" w:type="dxa"/>
            <w:shd w:val="clear" w:color="auto" w:fill="1F3A5F"/>
          </w:tcPr>
          <w:p>
            <w:pPr>
              <w:pStyle w:val="Compact"/>
              <w:spacing w:before="20" w:after="20"/>
              <w:jc w:val="left"/>
            </w:pPr>
            <w:r>
              <w:rPr>
                <w:b/>
                <w:color w:val="FFFFFF"/>
                <w:sz w:val="16"/>
              </w:rPr>
              <w:t>Critère</w:t>
            </w:r>
          </w:p>
        </w:tc>
        <w:tc>
          <w:tcPr>
            <w:tcW w:w="620" w:type="dxa"/>
            <w:shd w:val="clear" w:color="auto" w:fill="1F3A5F"/>
          </w:tcPr>
          <w:p>
            <w:pPr>
              <w:pStyle w:val="Compact"/>
              <w:spacing w:before="20" w:after="20"/>
              <w:jc w:val="left"/>
            </w:pPr>
            <w:r>
              <w:rPr>
                <w:b/>
                <w:color w:val="FFFFFF"/>
                <w:sz w:val="16"/>
              </w:rPr>
              <w:t>1 h</w:t>
            </w:r>
          </w:p>
        </w:tc>
        <w:tc>
          <w:tcPr>
            <w:tcW w:w="620" w:type="dxa"/>
            <w:shd w:val="clear" w:color="auto" w:fill="1F3A5F"/>
          </w:tcPr>
          <w:p>
            <w:pPr>
              <w:pStyle w:val="Compact"/>
              <w:spacing w:before="20" w:after="20"/>
              <w:jc w:val="left"/>
            </w:pPr>
            <w:r>
              <w:rPr>
                <w:b/>
                <w:color w:val="FFFFFF"/>
                <w:sz w:val="16"/>
              </w:rPr>
              <w:t>4 h</w:t>
            </w:r>
          </w:p>
        </w:tc>
        <w:tc>
          <w:tcPr>
            <w:tcW w:w="620" w:type="dxa"/>
            <w:shd w:val="clear" w:color="auto" w:fill="1F3A5F"/>
          </w:tcPr>
          <w:p>
            <w:pPr>
              <w:pStyle w:val="Compact"/>
              <w:spacing w:before="20" w:after="20"/>
              <w:jc w:val="left"/>
            </w:pPr>
            <w:r>
              <w:rPr>
                <w:b/>
                <w:color w:val="FFFFFF"/>
                <w:sz w:val="16"/>
              </w:rPr>
              <w:t>1 j</w:t>
            </w:r>
          </w:p>
        </w:tc>
        <w:tc>
          <w:tcPr>
            <w:tcW w:w="620" w:type="dxa"/>
            <w:shd w:val="clear" w:color="auto" w:fill="1F3A5F"/>
          </w:tcPr>
          <w:p>
            <w:pPr>
              <w:pStyle w:val="Compact"/>
              <w:spacing w:before="20" w:after="20"/>
              <w:jc w:val="left"/>
            </w:pPr>
            <w:r>
              <w:rPr>
                <w:b/>
                <w:color w:val="FFFFFF"/>
                <w:sz w:val="16"/>
              </w:rPr>
              <w:t>3 j</w:t>
            </w:r>
          </w:p>
        </w:tc>
        <w:tc>
          <w:tcPr>
            <w:tcW w:w="920" w:type="dxa"/>
            <w:shd w:val="clear" w:color="auto" w:fill="1F3A5F"/>
          </w:tcPr>
          <w:p>
            <w:pPr>
              <w:pStyle w:val="Compact"/>
              <w:spacing w:before="20" w:after="20"/>
              <w:jc w:val="left"/>
            </w:pPr>
            <w:r>
              <w:rPr>
                <w:b/>
                <w:color w:val="FFFFFF"/>
                <w:sz w:val="16"/>
              </w:rPr>
              <w:t>1 sem.</w:t>
            </w:r>
          </w:p>
        </w:tc>
        <w:tc>
          <w:tcPr>
            <w:tcW w:w="920" w:type="dxa"/>
            <w:shd w:val="clear" w:color="auto" w:fill="1F3A5F"/>
          </w:tcPr>
          <w:p>
            <w:pPr>
              <w:pStyle w:val="Compact"/>
              <w:spacing w:before="20" w:after="20"/>
              <w:jc w:val="left"/>
            </w:pPr>
            <w:r>
              <w:rPr>
                <w:b/>
                <w:color w:val="FFFFFF"/>
                <w:sz w:val="16"/>
              </w:rPr>
              <w:t>1 mois</w:t>
            </w:r>
          </w:p>
        </w:tc>
      </w:tr>
      <w:tr>
        <w:trPr>
          <w:cantSplit w:val="true"/>
        </w:trPr>
        <w:tc>
          <w:tcPr>
            <w:tcW w:w="5091" w:type="dxa"/>
          </w:tcPr>
          <w:p>
            <w:pPr>
              <w:pStyle w:val="Compact"/>
              <w:spacing w:before="20" w:after="20"/>
              <w:jc w:val="left"/>
            </w:pPr>
            <w:r>
              <w:rPr>
                <w:sz w:val="16"/>
              </w:rPr>
              <w:t>Personnes</w:t>
            </w:r>
          </w:p>
        </w:tc>
        <w:tc>
          <w:tcPr>
            <w:tcW w:w="620" w:type="dxa"/>
          </w:tcPr>
          <w:p>
            <w:pPr>
              <w:pStyle w:val="Compact"/>
              <w:spacing w:before="20" w:after="20"/>
            </w:pPr>
          </w:p>
        </w:tc>
        <w:tc>
          <w:tcPr>
            <w:tcW w:w="620" w:type="dxa"/>
          </w:tcPr>
          <w:p>
            <w:pPr>
              <w:pStyle w:val="Compact"/>
              <w:spacing w:before="20" w:after="20"/>
            </w:pPr>
          </w:p>
        </w:tc>
        <w:tc>
          <w:tcPr>
            <w:tcW w:w="620" w:type="dxa"/>
          </w:tcPr>
          <w:p>
            <w:pPr>
              <w:pStyle w:val="Compact"/>
              <w:spacing w:before="20" w:after="20"/>
            </w:pPr>
          </w:p>
        </w:tc>
        <w:tc>
          <w:tcPr>
            <w:tcW w:w="620" w:type="dxa"/>
          </w:tcPr>
          <w:p>
            <w:pPr>
              <w:pStyle w:val="Compact"/>
              <w:spacing w:before="20" w:after="20"/>
            </w:pPr>
          </w:p>
        </w:tc>
        <w:tc>
          <w:tcPr>
            <w:tcW w:w="920" w:type="dxa"/>
          </w:tcPr>
          <w:p>
            <w:pPr>
              <w:pStyle w:val="Compact"/>
              <w:spacing w:before="20" w:after="20"/>
            </w:pPr>
          </w:p>
        </w:tc>
        <w:tc>
          <w:tcPr>
            <w:tcW w:w="920" w:type="dxa"/>
          </w:tcPr>
          <w:p>
            <w:pPr>
              <w:pStyle w:val="Compact"/>
              <w:spacing w:before="20" w:after="20"/>
            </w:pPr>
          </w:p>
        </w:tc>
      </w:tr>
      <w:tr>
        <w:trPr>
          <w:cantSplit w:val="true"/>
        </w:trPr>
        <w:tc>
          <w:tcPr>
            <w:tcW w:w="5091" w:type="dxa"/>
            <w:shd w:val="clear" w:color="auto" w:fill="EEF2F6"/>
          </w:tcPr>
          <w:p>
            <w:pPr>
              <w:pStyle w:val="Compact"/>
              <w:spacing w:before="20" w:after="20"/>
              <w:jc w:val="left"/>
            </w:pPr>
            <w:r>
              <w:rPr>
                <w:sz w:val="16"/>
              </w:rPr>
              <w:t>Clients et usagers</w:t>
            </w: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920" w:type="dxa"/>
            <w:shd w:val="clear" w:color="auto" w:fill="EEF2F6"/>
          </w:tcPr>
          <w:p>
            <w:pPr>
              <w:pStyle w:val="Compact"/>
              <w:spacing w:before="20" w:after="20"/>
            </w:pPr>
          </w:p>
        </w:tc>
        <w:tc>
          <w:tcPr>
            <w:tcW w:w="920" w:type="dxa"/>
            <w:shd w:val="clear" w:color="auto" w:fill="EEF2F6"/>
          </w:tcPr>
          <w:p>
            <w:pPr>
              <w:pStyle w:val="Compact"/>
              <w:spacing w:before="20" w:after="20"/>
            </w:pPr>
          </w:p>
        </w:tc>
      </w:tr>
      <w:tr>
        <w:trPr>
          <w:cantSplit w:val="true"/>
        </w:trPr>
        <w:tc>
          <w:tcPr>
            <w:tcW w:w="5091" w:type="dxa"/>
          </w:tcPr>
          <w:p>
            <w:pPr>
              <w:pStyle w:val="Compact"/>
              <w:spacing w:before="20" w:after="20"/>
              <w:jc w:val="left"/>
            </w:pPr>
            <w:r>
              <w:rPr>
                <w:sz w:val="16"/>
              </w:rPr>
              <w:t>Obligations</w:t>
            </w:r>
          </w:p>
        </w:tc>
        <w:tc>
          <w:tcPr>
            <w:tcW w:w="620" w:type="dxa"/>
          </w:tcPr>
          <w:p>
            <w:pPr>
              <w:pStyle w:val="Compact"/>
              <w:spacing w:before="20" w:after="20"/>
            </w:pPr>
          </w:p>
        </w:tc>
        <w:tc>
          <w:tcPr>
            <w:tcW w:w="620" w:type="dxa"/>
          </w:tcPr>
          <w:p>
            <w:pPr>
              <w:pStyle w:val="Compact"/>
              <w:spacing w:before="20" w:after="20"/>
            </w:pPr>
          </w:p>
        </w:tc>
        <w:tc>
          <w:tcPr>
            <w:tcW w:w="620" w:type="dxa"/>
          </w:tcPr>
          <w:p>
            <w:pPr>
              <w:pStyle w:val="Compact"/>
              <w:spacing w:before="20" w:after="20"/>
            </w:pPr>
          </w:p>
        </w:tc>
        <w:tc>
          <w:tcPr>
            <w:tcW w:w="620" w:type="dxa"/>
          </w:tcPr>
          <w:p>
            <w:pPr>
              <w:pStyle w:val="Compact"/>
              <w:spacing w:before="20" w:after="20"/>
            </w:pPr>
          </w:p>
        </w:tc>
        <w:tc>
          <w:tcPr>
            <w:tcW w:w="920" w:type="dxa"/>
          </w:tcPr>
          <w:p>
            <w:pPr>
              <w:pStyle w:val="Compact"/>
              <w:spacing w:before="20" w:after="20"/>
            </w:pPr>
          </w:p>
        </w:tc>
        <w:tc>
          <w:tcPr>
            <w:tcW w:w="920" w:type="dxa"/>
          </w:tcPr>
          <w:p>
            <w:pPr>
              <w:pStyle w:val="Compact"/>
              <w:spacing w:before="20" w:after="20"/>
            </w:pPr>
          </w:p>
        </w:tc>
      </w:tr>
      <w:tr>
        <w:trPr>
          <w:cantSplit w:val="true"/>
        </w:trPr>
        <w:tc>
          <w:tcPr>
            <w:tcW w:w="5091" w:type="dxa"/>
            <w:shd w:val="clear" w:color="auto" w:fill="EEF2F6"/>
          </w:tcPr>
          <w:p>
            <w:pPr>
              <w:pStyle w:val="Compact"/>
              <w:spacing w:before="20" w:after="20"/>
              <w:jc w:val="left"/>
            </w:pPr>
            <w:r>
              <w:rPr>
                <w:sz w:val="16"/>
              </w:rPr>
              <w:t>Finances</w:t>
            </w: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920" w:type="dxa"/>
            <w:shd w:val="clear" w:color="auto" w:fill="EEF2F6"/>
          </w:tcPr>
          <w:p>
            <w:pPr>
              <w:pStyle w:val="Compact"/>
              <w:spacing w:before="20" w:after="20"/>
            </w:pPr>
          </w:p>
        </w:tc>
        <w:tc>
          <w:tcPr>
            <w:tcW w:w="920" w:type="dxa"/>
            <w:shd w:val="clear" w:color="auto" w:fill="EEF2F6"/>
          </w:tcPr>
          <w:p>
            <w:pPr>
              <w:pStyle w:val="Compact"/>
              <w:spacing w:before="20" w:after="20"/>
            </w:pPr>
          </w:p>
        </w:tc>
      </w:tr>
      <w:tr>
        <w:trPr>
          <w:cantSplit w:val="true"/>
        </w:trPr>
        <w:tc>
          <w:tcPr>
            <w:tcW w:w="5091" w:type="dxa"/>
          </w:tcPr>
          <w:p>
            <w:pPr>
              <w:pStyle w:val="Compact"/>
              <w:spacing w:before="20" w:after="20"/>
              <w:jc w:val="left"/>
            </w:pPr>
            <w:r>
              <w:rPr>
                <w:sz w:val="16"/>
              </w:rPr>
              <w:t>Confiance et image</w:t>
            </w:r>
          </w:p>
        </w:tc>
        <w:tc>
          <w:tcPr>
            <w:tcW w:w="620" w:type="dxa"/>
          </w:tcPr>
          <w:p>
            <w:pPr>
              <w:pStyle w:val="Compact"/>
              <w:spacing w:before="20" w:after="20"/>
            </w:pPr>
          </w:p>
        </w:tc>
        <w:tc>
          <w:tcPr>
            <w:tcW w:w="620" w:type="dxa"/>
          </w:tcPr>
          <w:p>
            <w:pPr>
              <w:pStyle w:val="Compact"/>
              <w:spacing w:before="20" w:after="20"/>
            </w:pPr>
          </w:p>
        </w:tc>
        <w:tc>
          <w:tcPr>
            <w:tcW w:w="620" w:type="dxa"/>
          </w:tcPr>
          <w:p>
            <w:pPr>
              <w:pStyle w:val="Compact"/>
              <w:spacing w:before="20" w:after="20"/>
            </w:pPr>
          </w:p>
        </w:tc>
        <w:tc>
          <w:tcPr>
            <w:tcW w:w="620" w:type="dxa"/>
          </w:tcPr>
          <w:p>
            <w:pPr>
              <w:pStyle w:val="Compact"/>
              <w:spacing w:before="20" w:after="20"/>
            </w:pPr>
          </w:p>
        </w:tc>
        <w:tc>
          <w:tcPr>
            <w:tcW w:w="920" w:type="dxa"/>
          </w:tcPr>
          <w:p>
            <w:pPr>
              <w:pStyle w:val="Compact"/>
              <w:spacing w:before="20" w:after="20"/>
            </w:pPr>
          </w:p>
        </w:tc>
        <w:tc>
          <w:tcPr>
            <w:tcW w:w="920" w:type="dxa"/>
          </w:tcPr>
          <w:p>
            <w:pPr>
              <w:pStyle w:val="Compact"/>
              <w:spacing w:before="20" w:after="20"/>
            </w:pPr>
          </w:p>
        </w:tc>
      </w:tr>
      <w:tr>
        <w:trPr>
          <w:cantSplit w:val="true"/>
        </w:trPr>
        <w:tc>
          <w:tcPr>
            <w:tcW w:w="5091" w:type="dxa"/>
            <w:shd w:val="clear" w:color="auto" w:fill="EEF2F6"/>
          </w:tcPr>
          <w:p>
            <w:pPr>
              <w:pStyle w:val="Compact"/>
              <w:spacing w:before="20" w:after="20"/>
              <w:jc w:val="left"/>
            </w:pPr>
            <w:r>
              <w:rPr>
                <w:sz w:val="16"/>
              </w:rPr>
              <w:t>Capacité de pilotage</w:t>
            </w: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920" w:type="dxa"/>
            <w:shd w:val="clear" w:color="auto" w:fill="EEF2F6"/>
          </w:tcPr>
          <w:p>
            <w:pPr>
              <w:pStyle w:val="Compact"/>
              <w:spacing w:before="20" w:after="20"/>
            </w:pPr>
          </w:p>
        </w:tc>
        <w:tc>
          <w:tcPr>
            <w:tcW w:w="920" w:type="dxa"/>
            <w:shd w:val="clear" w:color="auto" w:fill="EEF2F6"/>
          </w:tcPr>
          <w:p>
            <w:pPr>
              <w:pStyle w:val="Compact"/>
              <w:spacing w:before="20" w:after="20"/>
            </w:pPr>
          </w:p>
        </w:tc>
      </w:tr>
      <w:tr>
        <w:trPr>
          <w:cantSplit w:val="true"/>
        </w:trPr>
        <w:tc>
          <w:tcPr>
            <w:tcW w:w="5091" w:type="dxa"/>
          </w:tcPr>
          <w:p>
            <w:pPr>
              <w:pStyle w:val="Compact"/>
              <w:spacing w:before="20" w:after="20"/>
              <w:jc w:val="left"/>
            </w:pPr>
            <w:r>
              <w:rPr>
                <w:bCs/>
                <w:b/>
                <w:sz w:val="16"/>
              </w:rPr>
              <w:t>Niveau maximal</w:t>
            </w:r>
          </w:p>
        </w:tc>
        <w:tc>
          <w:tcPr>
            <w:tcW w:w="620" w:type="dxa"/>
          </w:tcPr>
          <w:p>
            <w:pPr>
              <w:pStyle w:val="Compact"/>
              <w:spacing w:before="20" w:after="20"/>
            </w:pPr>
          </w:p>
        </w:tc>
        <w:tc>
          <w:tcPr>
            <w:tcW w:w="620" w:type="dxa"/>
          </w:tcPr>
          <w:p>
            <w:pPr>
              <w:pStyle w:val="Compact"/>
              <w:spacing w:before="20" w:after="20"/>
            </w:pPr>
          </w:p>
        </w:tc>
        <w:tc>
          <w:tcPr>
            <w:tcW w:w="620" w:type="dxa"/>
          </w:tcPr>
          <w:p>
            <w:pPr>
              <w:pStyle w:val="Compact"/>
              <w:spacing w:before="20" w:after="20"/>
            </w:pPr>
          </w:p>
        </w:tc>
        <w:tc>
          <w:tcPr>
            <w:tcW w:w="620" w:type="dxa"/>
          </w:tcPr>
          <w:p>
            <w:pPr>
              <w:pStyle w:val="Compact"/>
              <w:spacing w:before="20" w:after="20"/>
            </w:pPr>
          </w:p>
        </w:tc>
        <w:tc>
          <w:tcPr>
            <w:tcW w:w="920" w:type="dxa"/>
          </w:tcPr>
          <w:p>
            <w:pPr>
              <w:pStyle w:val="Compact"/>
              <w:spacing w:before="20" w:after="20"/>
            </w:pPr>
          </w:p>
        </w:tc>
        <w:tc>
          <w:tcPr>
            <w:tcW w:w="920" w:type="dxa"/>
          </w:tcPr>
          <w:p>
            <w:pPr>
              <w:pStyle w:val="Compact"/>
              <w:spacing w:before="20" w:after="20"/>
            </w:pPr>
          </w:p>
        </w:tc>
      </w:tr>
    </w:tbl>
    <w:p>
      <w:pPr>
        <w:keepNext/>
        <w:pStyle w:val="BodyText"/>
      </w:pPr>
      <w:r>
        <w:rPr>
          <w:bCs/>
          <w:b/>
        </w:rPr>
        <w:t>Seuils et conditions de reprise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7056"/>
        <w:gridCol w:w="2355"/>
      </w:tblGrid>
      <w:tr>
        <w:trPr>
          <w:tblHeader w:val="true"/>
          <w:cantSplit w:val="true"/>
          <w:tblHeader w:val="true"/>
        </w:trPr>
        <w:tc>
          <w:tcPr>
            <w:tcW w:w="7056" w:type="dxa"/>
            <w:shd w:val="clear" w:color="auto" w:fill="1F3A5F"/>
          </w:tcPr>
          <w:p>
            <w:pPr>
              <w:pStyle w:val="Compact"/>
              <w:spacing w:before="20" w:after="20"/>
              <w:jc w:val="left"/>
            </w:pPr>
            <w:r>
              <w:rPr>
                <w:b/>
                <w:color w:val="FFFFFF"/>
                <w:sz w:val="18"/>
              </w:rPr>
              <w:t>Rubrique</w:t>
            </w:r>
          </w:p>
        </w:tc>
        <w:tc>
          <w:tcPr>
            <w:tcW w:w="2355" w:type="dxa"/>
            <w:shd w:val="clear" w:color="auto" w:fill="1F3A5F"/>
          </w:tcPr>
          <w:p>
            <w:pPr>
              <w:pStyle w:val="Compact"/>
              <w:spacing w:before="20" w:after="20"/>
              <w:jc w:val="left"/>
            </w:pPr>
            <w:r>
              <w:rPr>
                <w:b/>
                <w:color w:val="FFFFFF"/>
                <w:sz w:val="18"/>
              </w:rPr>
              <w:t>Réponse</w:t>
            </w:r>
          </w:p>
        </w:tc>
      </w:tr>
      <w:tr>
        <w:trPr>
          <w:cantSplit w:val="true"/>
        </w:trPr>
        <w:tc>
          <w:tcPr>
            <w:tcW w:w="7056" w:type="dxa"/>
          </w:tcPr>
          <w:p>
            <w:pPr>
              <w:pStyle w:val="Compact"/>
              <w:spacing w:before="20" w:after="20"/>
              <w:jc w:val="left"/>
            </w:pPr>
            <w:r>
              <w:rPr>
                <w:sz w:val="18"/>
              </w:rPr>
              <w:t>DMIA (borne lue sur la courbe)</w:t>
            </w:r>
          </w:p>
        </w:tc>
        <w:tc>
          <w:tcPr>
            <w:tcW w:w="2355" w:type="dxa"/>
          </w:tcPr>
          <w:p>
            <w:pPr>
              <w:pStyle w:val="Compact"/>
              <w:spacing w:before="20" w:after="20"/>
            </w:pPr>
          </w:p>
        </w:tc>
      </w:tr>
      <w:tr>
        <w:trPr>
          <w:cantSplit w:val="true"/>
        </w:trPr>
        <w:tc>
          <w:tcPr>
            <w:tcW w:w="7056" w:type="dxa"/>
            <w:shd w:val="clear" w:color="auto" w:fill="EEF2F6"/>
          </w:tcPr>
          <w:p>
            <w:pPr>
              <w:pStyle w:val="Compact"/>
              <w:spacing w:before="20" w:after="20"/>
              <w:jc w:val="left"/>
            </w:pPr>
            <w:r>
              <w:rPr>
                <w:sz w:val="18"/>
              </w:rPr>
              <w:t>DMIA retenue (précisée en entretien)</w:t>
            </w:r>
          </w:p>
        </w:tc>
        <w:tc>
          <w:tcPr>
            <w:tcW w:w="2355" w:type="dxa"/>
            <w:shd w:val="clear" w:color="auto" w:fill="EEF2F6"/>
          </w:tcPr>
          <w:p>
            <w:pPr>
              <w:pStyle w:val="Compact"/>
              <w:spacing w:before="20" w:after="20"/>
            </w:pPr>
          </w:p>
        </w:tc>
      </w:tr>
      <w:tr>
        <w:trPr>
          <w:cantSplit w:val="true"/>
        </w:trPr>
        <w:tc>
          <w:tcPr>
            <w:tcW w:w="7056" w:type="dxa"/>
          </w:tcPr>
          <w:p>
            <w:pPr>
              <w:pStyle w:val="Compact"/>
              <w:spacing w:before="20" w:after="20"/>
              <w:jc w:val="left"/>
            </w:pPr>
            <w:r>
              <w:rPr>
                <w:sz w:val="18"/>
              </w:rPr>
              <w:t>Objectif de délai de reprise (RTO)</w:t>
            </w:r>
          </w:p>
        </w:tc>
        <w:tc>
          <w:tcPr>
            <w:tcW w:w="2355" w:type="dxa"/>
          </w:tcPr>
          <w:p>
            <w:pPr>
              <w:pStyle w:val="Compact"/>
              <w:spacing w:before="20" w:after="20"/>
              <w:jc w:val="left"/>
            </w:pPr>
            <w:r>
              <w:rPr>
                <w:iCs/>
                <w:i/>
                <w:sz w:val="18"/>
              </w:rPr>
              <w:t>(voir le ratio du §3.6)</w:t>
            </w:r>
          </w:p>
        </w:tc>
      </w:tr>
      <w:tr>
        <w:trPr>
          <w:cantSplit w:val="true"/>
        </w:trPr>
        <w:tc>
          <w:tcPr>
            <w:tcW w:w="7056" w:type="dxa"/>
            <w:shd w:val="clear" w:color="auto" w:fill="EEF2F6"/>
          </w:tcPr>
          <w:p>
            <w:pPr>
              <w:pStyle w:val="Compact"/>
              <w:spacing w:before="20" w:after="20"/>
              <w:jc w:val="left"/>
            </w:pPr>
            <w:r>
              <w:rPr>
                <w:sz w:val="18"/>
              </w:rPr>
              <w:t>Temps de rattrapage du retard une fois l’activité reprise</w:t>
            </w:r>
          </w:p>
        </w:tc>
        <w:tc>
          <w:tcPr>
            <w:tcW w:w="2355" w:type="dxa"/>
            <w:shd w:val="clear" w:color="auto" w:fill="EEF2F6"/>
          </w:tcPr>
          <w:p>
            <w:pPr>
              <w:pStyle w:val="Compact"/>
              <w:spacing w:before="20" w:after="20"/>
              <w:jc w:val="left"/>
            </w:pPr>
            <w:r>
              <w:rPr>
                <w:iCs/>
                <w:i/>
                <w:sz w:val="18"/>
              </w:rPr>
              <w:t>(contrôle de la marge)</w:t>
            </w:r>
          </w:p>
        </w:tc>
      </w:tr>
      <w:tr>
        <w:trPr>
          <w:cantSplit w:val="true"/>
        </w:trPr>
        <w:tc>
          <w:tcPr>
            <w:tcW w:w="7056" w:type="dxa"/>
          </w:tcPr>
          <w:p>
            <w:pPr>
              <w:pStyle w:val="Compact"/>
              <w:spacing w:before="20" w:after="20"/>
              <w:jc w:val="left"/>
            </w:pPr>
            <w:r>
              <w:rPr>
                <w:sz w:val="18"/>
              </w:rPr>
              <w:t>PRD</w:t>
            </w:r>
          </w:p>
        </w:tc>
        <w:tc>
          <w:tcPr>
            <w:tcW w:w="2355" w:type="dxa"/>
          </w:tcPr>
          <w:p>
            <w:pPr>
              <w:pStyle w:val="Compact"/>
              <w:spacing w:before="20" w:after="20"/>
            </w:pPr>
          </w:p>
        </w:tc>
      </w:tr>
      <w:tr>
        <w:trPr>
          <w:cantSplit w:val="true"/>
        </w:trPr>
        <w:tc>
          <w:tcPr>
            <w:tcW w:w="7056" w:type="dxa"/>
            <w:shd w:val="clear" w:color="auto" w:fill="EEF2F6"/>
          </w:tcPr>
          <w:p>
            <w:pPr>
              <w:pStyle w:val="Compact"/>
              <w:spacing w:before="20" w:after="20"/>
              <w:jc w:val="left"/>
            </w:pPr>
            <w:r>
              <w:rPr>
                <w:sz w:val="18"/>
              </w:rPr>
              <w:t>Peut-on reconstituer le travail perdu ? À partir de quoi ?</w:t>
            </w:r>
          </w:p>
        </w:tc>
        <w:tc>
          <w:tcPr>
            <w:tcW w:w="2355" w:type="dxa"/>
            <w:shd w:val="clear" w:color="auto" w:fill="EEF2F6"/>
          </w:tcPr>
          <w:p>
            <w:pPr>
              <w:pStyle w:val="Compact"/>
              <w:spacing w:before="20" w:after="20"/>
            </w:pPr>
          </w:p>
        </w:tc>
      </w:tr>
      <w:tr>
        <w:trPr>
          <w:cantSplit w:val="true"/>
        </w:trPr>
        <w:tc>
          <w:tcPr>
            <w:tcW w:w="7056" w:type="dxa"/>
          </w:tcPr>
          <w:p>
            <w:pPr>
              <w:pStyle w:val="Compact"/>
              <w:spacing w:before="20" w:after="20"/>
              <w:jc w:val="left"/>
            </w:pPr>
            <w:r>
              <w:rPr>
                <w:sz w:val="18"/>
              </w:rPr>
              <w:t>Niveau minimal de continuité</w:t>
            </w:r>
          </w:p>
        </w:tc>
        <w:tc>
          <w:tcPr>
            <w:tcW w:w="2355" w:type="dxa"/>
          </w:tcPr>
          <w:p>
            <w:pPr>
              <w:pStyle w:val="Compact"/>
              <w:spacing w:before="20" w:after="20"/>
            </w:pPr>
          </w:p>
        </w:tc>
      </w:tr>
      <w:tr>
        <w:trPr>
          <w:cantSplit w:val="true"/>
        </w:trPr>
        <w:tc>
          <w:tcPr>
            <w:tcW w:w="7056" w:type="dxa"/>
            <w:shd w:val="clear" w:color="auto" w:fill="EEF2F6"/>
          </w:tcPr>
          <w:p>
            <w:pPr>
              <w:pStyle w:val="Compact"/>
              <w:spacing w:before="20" w:after="20"/>
              <w:jc w:val="left"/>
            </w:pPr>
            <w:r>
              <w:rPr>
                <w:sz w:val="18"/>
              </w:rPr>
              <w:t>Périodes critiques</w:t>
            </w:r>
          </w:p>
        </w:tc>
        <w:tc>
          <w:tcPr>
            <w:tcW w:w="2355" w:type="dxa"/>
            <w:shd w:val="clear" w:color="auto" w:fill="EEF2F6"/>
          </w:tcPr>
          <w:p>
            <w:pPr>
              <w:pStyle w:val="Compact"/>
              <w:spacing w:before="20" w:after="20"/>
            </w:pPr>
          </w:p>
        </w:tc>
      </w:tr>
      <w:tr>
        <w:trPr>
          <w:cantSplit w:val="true"/>
        </w:trPr>
        <w:tc>
          <w:tcPr>
            <w:tcW w:w="7056" w:type="dxa"/>
          </w:tcPr>
          <w:p>
            <w:pPr>
              <w:pStyle w:val="Compact"/>
              <w:spacing w:before="20" w:after="20"/>
              <w:jc w:val="left"/>
            </w:pPr>
            <w:r>
              <w:rPr>
                <w:sz w:val="18"/>
              </w:rPr>
              <w:t>Mode dégradé existant</w:t>
            </w:r>
          </w:p>
        </w:tc>
        <w:tc>
          <w:tcPr>
            <w:tcW w:w="2355" w:type="dxa"/>
          </w:tcPr>
          <w:p>
            <w:pPr>
              <w:pStyle w:val="Compact"/>
              <w:spacing w:before="20" w:after="20"/>
              <w:jc w:val="left"/>
            </w:pPr>
            <w:r>
              <w:rPr>
                <w:sz w:val="18"/>
              </w:rPr>
              <w:t>☐ Oui ☐ Non — description :</w:t>
            </w:r>
          </w:p>
        </w:tc>
      </w:tr>
      <w:tr>
        <w:trPr>
          <w:cantSplit w:val="true"/>
        </w:trPr>
        <w:tc>
          <w:tcPr>
            <w:tcW w:w="7056" w:type="dxa"/>
            <w:shd w:val="clear" w:color="auto" w:fill="EEF2F6"/>
          </w:tcPr>
          <w:p>
            <w:pPr>
              <w:pStyle w:val="Compact"/>
              <w:spacing w:before="20" w:after="20"/>
              <w:jc w:val="left"/>
            </w:pPr>
            <w:r>
              <w:rPr>
                <w:sz w:val="18"/>
              </w:rPr>
              <w:t>Durée pendant laquelle le mode dégradé tient</w:t>
            </w:r>
          </w:p>
        </w:tc>
        <w:tc>
          <w:tcPr>
            <w:tcW w:w="2355" w:type="dxa"/>
            <w:shd w:val="clear" w:color="auto" w:fill="EEF2F6"/>
          </w:tcPr>
          <w:p>
            <w:pPr>
              <w:pStyle w:val="Compact"/>
              <w:spacing w:before="20" w:after="20"/>
            </w:pPr>
          </w:p>
        </w:tc>
      </w:tr>
      <w:tr>
        <w:trPr>
          <w:cantSplit w:val="true"/>
        </w:trPr>
        <w:tc>
          <w:tcPr>
            <w:tcW w:w="7056" w:type="dxa"/>
          </w:tcPr>
          <w:p>
            <w:pPr>
              <w:pStyle w:val="Compact"/>
              <w:spacing w:before="20" w:after="20"/>
              <w:jc w:val="left"/>
            </w:pPr>
            <w:r>
              <w:rPr>
                <w:sz w:val="18"/>
              </w:rPr>
              <w:t>Mode dégradé déjà pratiqué (réel ou exercice)</w:t>
            </w:r>
          </w:p>
        </w:tc>
        <w:tc>
          <w:tcPr>
            <w:tcW w:w="2355" w:type="dxa"/>
          </w:tcPr>
          <w:p>
            <w:pPr>
              <w:pStyle w:val="Compact"/>
              <w:spacing w:before="20" w:after="20"/>
              <w:jc w:val="left"/>
            </w:pPr>
            <w:r>
              <w:rPr>
                <w:sz w:val="18"/>
              </w:rPr>
              <w:t>☐ Oui ☐ Non</w:t>
            </w:r>
          </w:p>
        </w:tc>
      </w:tr>
      <w:tr>
        <w:trPr>
          <w:cantSplit w:val="true"/>
        </w:trPr>
        <w:tc>
          <w:tcPr>
            <w:tcW w:w="7056" w:type="dxa"/>
            <w:shd w:val="clear" w:color="auto" w:fill="EEF2F6"/>
          </w:tcPr>
          <w:p>
            <w:pPr>
              <w:pStyle w:val="Compact"/>
              <w:spacing w:before="20" w:after="20"/>
              <w:jc w:val="left"/>
            </w:pPr>
            <w:r>
              <w:rPr>
                <w:sz w:val="18"/>
              </w:rPr>
              <w:t>Activités amont (dont celle-ci dépend)</w:t>
            </w:r>
          </w:p>
        </w:tc>
        <w:tc>
          <w:tcPr>
            <w:tcW w:w="2355" w:type="dxa"/>
            <w:shd w:val="clear" w:color="auto" w:fill="EEF2F6"/>
          </w:tcPr>
          <w:p>
            <w:pPr>
              <w:pStyle w:val="Compact"/>
              <w:spacing w:before="20" w:after="20"/>
            </w:pPr>
          </w:p>
        </w:tc>
      </w:tr>
      <w:tr>
        <w:trPr>
          <w:cantSplit w:val="true"/>
        </w:trPr>
        <w:tc>
          <w:tcPr>
            <w:tcW w:w="7056" w:type="dxa"/>
          </w:tcPr>
          <w:p>
            <w:pPr>
              <w:pStyle w:val="Compact"/>
              <w:spacing w:before="20" w:after="20"/>
              <w:jc w:val="left"/>
            </w:pPr>
            <w:r>
              <w:rPr>
                <w:sz w:val="18"/>
              </w:rPr>
              <w:t>Activités aval (qui dépendent d’elle)</w:t>
            </w:r>
          </w:p>
        </w:tc>
        <w:tc>
          <w:tcPr>
            <w:tcW w:w="2355" w:type="dxa"/>
          </w:tcPr>
          <w:p>
            <w:pPr>
              <w:pStyle w:val="Compact"/>
              <w:spacing w:before="20" w:after="20"/>
            </w:pPr>
          </w:p>
        </w:tc>
      </w:tr>
      <w:tr>
        <w:trPr>
          <w:cantSplit w:val="true"/>
        </w:trPr>
        <w:tc>
          <w:tcPr>
            <w:tcW w:w="7056" w:type="dxa"/>
            <w:shd w:val="clear" w:color="auto" w:fill="EEF2F6"/>
          </w:tcPr>
          <w:p>
            <w:pPr>
              <w:pStyle w:val="Compact"/>
              <w:spacing w:before="20" w:after="20"/>
              <w:jc w:val="left"/>
            </w:pPr>
            <w:r>
              <w:rPr>
                <w:sz w:val="18"/>
              </w:rPr>
              <w:t>Réponse à la question sur l’intégrité (§3.5)</w:t>
            </w:r>
          </w:p>
        </w:tc>
        <w:tc>
          <w:tcPr>
            <w:tcW w:w="2355" w:type="dxa"/>
            <w:shd w:val="clear" w:color="auto" w:fill="EEF2F6"/>
          </w:tcPr>
          <w:p>
            <w:pPr>
              <w:pStyle w:val="Compact"/>
              <w:spacing w:before="20" w:after="20"/>
            </w:pPr>
          </w:p>
        </w:tc>
      </w:tr>
      <w:tr>
        <w:trPr>
          <w:cantSplit w:val="true"/>
        </w:trPr>
        <w:tc>
          <w:tcPr>
            <w:tcW w:w="7056" w:type="dxa"/>
          </w:tcPr>
          <w:p>
            <w:pPr>
              <w:pStyle w:val="Compact"/>
              <w:spacing w:before="20" w:after="20"/>
              <w:jc w:val="left"/>
            </w:pPr>
            <w:r>
              <w:rPr>
                <w:sz w:val="18"/>
              </w:rPr>
              <w:t>Validation par le responsable</w:t>
            </w:r>
          </w:p>
        </w:tc>
        <w:tc>
          <w:tcPr>
            <w:tcW w:w="2355" w:type="dxa"/>
          </w:tcPr>
          <w:p>
            <w:pPr>
              <w:pStyle w:val="Compact"/>
              <w:spacing w:before="20" w:after="20"/>
              <w:jc w:val="left"/>
            </w:pPr>
            <w:r>
              <w:rPr>
                <w:sz w:val="18"/>
              </w:rPr>
              <w:t>Fonction, date</w:t>
            </w:r>
          </w:p>
        </w:tc>
      </w:tr>
    </w:tbl>
    <w:bookmarkEnd w:id="43"/>
    <w:bookmarkStart w:id="44" w:name="vérifications-de-cohérence"/>
    <w:p>
      <w:pPr>
        <w:pStyle w:val="Heading2"/>
      </w:pPr>
      <w:r>
        <w:t>5.2 Vérifications de cohérence</w:t>
      </w:r>
    </w:p>
    <w:p>
      <w:pPr>
        <w:pStyle w:val="BlockText"/>
      </w:pPr>
      <w:r>
        <w:rPr>
          <w:bCs/>
          <w:b/>
        </w:rPr>
        <w:t>C1 — Service</w:t>
      </w:r>
      <w:r>
        <w:t xml:space="preserve"> </w:t>
      </w:r>
      <w:r>
        <w:t>: une activité dont l’arrêt interrompt aussitôt le service n’a pas de raison d’avoir une DMIA plus longue que lui. Une DMIA plus longue reste possible quand l’arrêt de l’activité ne pèse sur le service qu’au bout d’un certain temps (mise à jour d’un catalogue, par exemple) : elle se justifie alors, et la justification s’écrit.</w:t>
      </w:r>
    </w:p>
    <w:p>
      <w:pPr>
        <w:pStyle w:val="BlockText"/>
      </w:pPr>
      <w:r>
        <w:rPr>
          <w:bCs/>
          <w:b/>
        </w:rPr>
        <w:t>C2 — Amont</w:t>
      </w:r>
      <w:r>
        <w:t xml:space="preserve"> </w:t>
      </w:r>
      <w:r>
        <w:t>: une activité dont dépend une activité prioritaire n’a pas, en principe, une DMIA plus longue que celle de l’activité qu’elle alimente, sauf si un stock, un tampon ou un délai découple les deux. Là encore, l’écart se justifie par écrit.</w:t>
      </w:r>
    </w:p>
    <w:p>
      <w:pPr>
        <w:pStyle w:val="BlockText"/>
      </w:pPr>
      <w:r>
        <w:rPr>
          <w:bCs/>
          <w:b/>
        </w:rPr>
        <w:t>C3 — Marge</w:t>
      </w:r>
      <w:r>
        <w:t xml:space="preserve"> </w:t>
      </w:r>
      <w:r>
        <w:t>: le ratio RTO / DMIA respecte le §3.6 et le temps de rattrapage tient dans la marge.</w:t>
      </w:r>
    </w:p>
    <w:p>
      <w:pPr>
        <w:pStyle w:val="FirstParagraph"/>
      </w:pPr>
      <w:r>
        <w:t>Le classeur calcule C1, C2 et C3 et signale les cas « À justifier » ; une colonne recueille la justification.</w:t>
      </w:r>
    </w:p>
    <w:p>
      <w:r>
        <w:pict>
          <v:rect style="width:0;height:1.5pt" o:hralign="center" o:hrstd="t" o:hr="t"/>
        </w:pict>
      </w:r>
    </w:p>
    <w:bookmarkEnd w:id="44"/>
    <w:bookmarkEnd w:id="45"/>
    <w:bookmarkStart w:id="49" w:name="ressources-et-dépendances"/>
    <w:p>
      <w:pPr>
        <w:pStyle w:val="Heading1"/>
      </w:pPr>
      <w:r>
        <w:t>6. Ressources et dépendances</w:t>
      </w:r>
    </w:p>
    <w:p>
      <w:pPr>
        <w:pStyle w:val="FirstParagraph"/>
      </w:pPr>
      <w:r>
        <w:rPr>
          <w:iCs/>
          <w:i/>
        </w:rPr>
        <w:t>Étape 5. Pour chaque activité prioritaire, ce dont elle a besoin pour fonctionner</w:t>
      </w:r>
      <w:r>
        <w:rPr>
          <w:iCs/>
          <w:i/>
        </w:rPr>
        <w:t xml:space="preserve"> </w:t>
      </w:r>
      <w:r>
        <w:rPr>
          <w:bCs/>
          <w:b/>
          <w:iCs/>
          <w:i/>
        </w:rPr>
        <w:t>à son niveau minimal</w:t>
      </w:r>
      <w:r>
        <w:rPr>
          <w:iCs/>
          <w:i/>
        </w:rPr>
        <w:t>, pas en régime nominal.</w:t>
      </w:r>
    </w:p>
    <w:bookmarkStart w:id="46" w:name="registre-des-ressources"/>
    <w:p>
      <w:pPr>
        <w:keepNext/>
        <w:pStyle w:val="Heading2"/>
      </w:pPr>
      <w:r>
        <w:t>6.1 Registre des ressources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20"/>
        <w:gridCol w:w="1620"/>
        <w:gridCol w:w="1020"/>
        <w:gridCol w:w="1020"/>
        <w:gridCol w:w="1628"/>
        <w:gridCol w:w="1161"/>
        <w:gridCol w:w="1320"/>
        <w:gridCol w:w="1122"/>
      </w:tblGrid>
      <w:tr>
        <w:trPr>
          <w:tblHeader w:val="true"/>
          <w:cantSplit w:val="true"/>
          <w:tblHeader w:val="true"/>
        </w:trPr>
        <w:tc>
          <w:tcPr>
            <w:tcW w:w="520" w:type="dxa"/>
            <w:shd w:val="clear" w:color="auto" w:fill="1F3A5F"/>
          </w:tcPr>
          <w:p>
            <w:pPr>
              <w:pStyle w:val="Compact"/>
              <w:spacing w:before="20" w:after="20"/>
              <w:jc w:val="left"/>
            </w:pPr>
            <w:r>
              <w:rPr>
                <w:b/>
                <w:color w:val="FFFFFF"/>
                <w:sz w:val="16"/>
              </w:rPr>
              <w:t>ID</w:t>
            </w:r>
          </w:p>
        </w:tc>
        <w:tc>
          <w:tcPr>
            <w:tcW w:w="1620" w:type="dxa"/>
            <w:shd w:val="clear" w:color="auto" w:fill="1F3A5F"/>
          </w:tcPr>
          <w:p>
            <w:pPr>
              <w:pStyle w:val="Compact"/>
              <w:spacing w:before="20" w:after="20"/>
              <w:jc w:val="left"/>
            </w:pPr>
            <w:r>
              <w:rPr>
                <w:b/>
                <w:color w:val="FFFFFF"/>
                <w:sz w:val="16"/>
              </w:rPr>
              <w:t>Ressource</w:t>
            </w:r>
          </w:p>
        </w:tc>
        <w:tc>
          <w:tcPr>
            <w:tcW w:w="1020" w:type="dxa"/>
            <w:shd w:val="clear" w:color="auto" w:fill="1F3A5F"/>
          </w:tcPr>
          <w:p>
            <w:pPr>
              <w:pStyle w:val="Compact"/>
              <w:spacing w:before="20" w:after="20"/>
              <w:jc w:val="left"/>
            </w:pPr>
            <w:r>
              <w:rPr>
                <w:b/>
                <w:color w:val="FFFFFF"/>
                <w:sz w:val="16"/>
              </w:rPr>
              <w:t>Famille</w:t>
            </w:r>
          </w:p>
        </w:tc>
        <w:tc>
          <w:tcPr>
            <w:tcW w:w="1020" w:type="dxa"/>
            <w:shd w:val="clear" w:color="auto" w:fill="1F3A5F"/>
          </w:tcPr>
          <w:p>
            <w:pPr>
              <w:pStyle w:val="Compact"/>
              <w:spacing w:before="20" w:after="20"/>
              <w:jc w:val="left"/>
            </w:pPr>
            <w:r>
              <w:rPr>
                <w:b/>
                <w:color w:val="FFFFFF"/>
                <w:sz w:val="16"/>
              </w:rPr>
              <w:t>Tiers ?</w:t>
            </w:r>
          </w:p>
        </w:tc>
        <w:tc>
          <w:tcPr>
            <w:tcW w:w="1628" w:type="dxa"/>
            <w:shd w:val="clear" w:color="auto" w:fill="1F3A5F"/>
          </w:tcPr>
          <w:p>
            <w:pPr>
              <w:pStyle w:val="Compact"/>
              <w:spacing w:before="20" w:after="20"/>
              <w:jc w:val="left"/>
            </w:pPr>
            <w:r>
              <w:rPr>
                <w:b/>
                <w:color w:val="FFFFFF"/>
                <w:sz w:val="16"/>
              </w:rPr>
              <w:t>Activités utilisatrices</w:t>
            </w:r>
          </w:p>
        </w:tc>
        <w:tc>
          <w:tcPr>
            <w:tcW w:w="1161" w:type="dxa"/>
            <w:shd w:val="clear" w:color="auto" w:fill="1F3A5F"/>
          </w:tcPr>
          <w:p>
            <w:pPr>
              <w:pStyle w:val="Compact"/>
              <w:spacing w:before="20" w:after="20"/>
              <w:jc w:val="left"/>
            </w:pPr>
            <w:r>
              <w:rPr>
                <w:b/>
                <w:color w:val="FFFFFF"/>
                <w:sz w:val="16"/>
              </w:rPr>
              <w:t>Exigence (RTO / PRD)</w:t>
            </w:r>
          </w:p>
        </w:tc>
        <w:tc>
          <w:tcPr>
            <w:tcW w:w="1320" w:type="dxa"/>
            <w:shd w:val="clear" w:color="auto" w:fill="1F3A5F"/>
          </w:tcPr>
          <w:p>
            <w:pPr>
              <w:pStyle w:val="Compact"/>
              <w:spacing w:before="20" w:after="20"/>
              <w:jc w:val="left"/>
            </w:pPr>
            <w:r>
              <w:rPr>
                <w:b/>
                <w:color w:val="FFFFFF"/>
                <w:sz w:val="16"/>
              </w:rPr>
              <w:t>Capacité constatée et source</w:t>
            </w:r>
          </w:p>
        </w:tc>
        <w:tc>
          <w:tcPr>
            <w:tcW w:w="1122" w:type="dxa"/>
            <w:shd w:val="clear" w:color="auto" w:fill="1F3A5F"/>
          </w:tcPr>
          <w:p>
            <w:pPr>
              <w:pStyle w:val="Compact"/>
              <w:spacing w:before="20" w:after="20"/>
              <w:jc w:val="left"/>
            </w:pPr>
            <w:r>
              <w:rPr>
                <w:b/>
                <w:color w:val="FFFFFF"/>
                <w:sz w:val="16"/>
              </w:rPr>
              <w:t>Rechange</w:t>
            </w:r>
          </w:p>
        </w:tc>
      </w:tr>
      <w:tr>
        <w:trPr>
          <w:cantSplit w:val="true"/>
        </w:trPr>
        <w:tc>
          <w:tcPr>
            <w:tcW w:w="520" w:type="dxa"/>
          </w:tcPr>
          <w:p>
            <w:pPr>
              <w:pStyle w:val="Compact"/>
              <w:spacing w:before="20" w:after="20"/>
              <w:jc w:val="left"/>
            </w:pPr>
            <w:r>
              <w:rPr>
                <w:sz w:val="16"/>
              </w:rPr>
              <w:t>R1</w:t>
            </w:r>
          </w:p>
        </w:tc>
        <w:tc>
          <w:tcPr>
            <w:tcW w:w="1620" w:type="dxa"/>
          </w:tcPr>
          <w:p>
            <w:pPr>
              <w:pStyle w:val="Compact"/>
              <w:spacing w:before="20" w:after="20"/>
              <w:jc w:val="left"/>
            </w:pPr>
            <w:r>
              <w:rPr>
                <w:rStyle w:val="VerbatimChar"/>
                <w:sz w:val="16"/>
                <w:b/>
                <w:color w:val="8A5A00"/>
              </w:rPr>
              <w:t>{{RESSOURCE}}</w:t>
            </w:r>
          </w:p>
        </w:tc>
        <w:tc>
          <w:tcPr>
            <w:tcW w:w="1020" w:type="dxa"/>
          </w:tcPr>
          <w:p>
            <w:pPr>
              <w:pStyle w:val="Compact"/>
              <w:spacing w:before="20" w:after="20"/>
            </w:pPr>
          </w:p>
        </w:tc>
        <w:tc>
          <w:tcPr>
            <w:tcW w:w="1020" w:type="dxa"/>
          </w:tcPr>
          <w:p>
            <w:pPr>
              <w:pStyle w:val="Compact"/>
              <w:spacing w:before="20" w:after="20"/>
              <w:jc w:val="left"/>
            </w:pPr>
            <w:r>
              <w:rPr>
                <w:sz w:val="16"/>
              </w:rPr>
              <w:t>☐</w:t>
            </w:r>
          </w:p>
        </w:tc>
        <w:tc>
          <w:tcPr>
            <w:tcW w:w="1628" w:type="dxa"/>
          </w:tcPr>
          <w:p>
            <w:pPr>
              <w:pStyle w:val="Compact"/>
              <w:spacing w:before="20" w:after="20"/>
            </w:pPr>
          </w:p>
        </w:tc>
        <w:tc>
          <w:tcPr>
            <w:tcW w:w="1161" w:type="dxa"/>
          </w:tcPr>
          <w:p>
            <w:pPr>
              <w:pStyle w:val="Compact"/>
              <w:spacing w:before="20" w:after="20"/>
            </w:pPr>
          </w:p>
        </w:tc>
        <w:tc>
          <w:tcPr>
            <w:tcW w:w="1320" w:type="dxa"/>
          </w:tcPr>
          <w:p>
            <w:pPr>
              <w:pStyle w:val="Compact"/>
              <w:spacing w:before="20" w:after="20"/>
            </w:pPr>
          </w:p>
        </w:tc>
        <w:tc>
          <w:tcPr>
            <w:tcW w:w="1122" w:type="dxa"/>
          </w:tcPr>
          <w:p>
            <w:pPr>
              <w:pStyle w:val="Compact"/>
              <w:spacing w:before="20" w:after="20"/>
              <w:jc w:val="left"/>
            </w:pPr>
            <w:r>
              <w:rPr>
                <w:sz w:val="16"/>
              </w:rPr>
              <w:t>☐ Oui ☐ Non</w:t>
            </w:r>
          </w:p>
        </w:tc>
      </w:tr>
      <w:tr>
        <w:trPr>
          <w:cantSplit w:val="true"/>
        </w:trPr>
        <w:tc>
          <w:tcPr>
            <w:tcW w:w="520" w:type="dxa"/>
            <w:shd w:val="clear" w:color="auto" w:fill="EEF2F6"/>
          </w:tcPr>
          <w:p>
            <w:pPr>
              <w:pStyle w:val="Compact"/>
              <w:spacing w:before="20" w:after="20"/>
              <w:jc w:val="left"/>
            </w:pPr>
            <w:r>
              <w:rPr>
                <w:sz w:val="16"/>
              </w:rPr>
              <w:t>…</w:t>
            </w:r>
          </w:p>
        </w:tc>
        <w:tc>
          <w:tcPr>
            <w:tcW w:w="1620" w:type="dxa"/>
            <w:shd w:val="clear" w:color="auto" w:fill="EEF2F6"/>
          </w:tcPr>
          <w:p>
            <w:pPr>
              <w:pStyle w:val="Compact"/>
              <w:spacing w:before="20" w:after="20"/>
            </w:pPr>
          </w:p>
        </w:tc>
        <w:tc>
          <w:tcPr>
            <w:tcW w:w="1020" w:type="dxa"/>
            <w:shd w:val="clear" w:color="auto" w:fill="EEF2F6"/>
          </w:tcPr>
          <w:p>
            <w:pPr>
              <w:pStyle w:val="Compact"/>
              <w:spacing w:before="20" w:after="20"/>
            </w:pPr>
          </w:p>
        </w:tc>
        <w:tc>
          <w:tcPr>
            <w:tcW w:w="1020" w:type="dxa"/>
            <w:shd w:val="clear" w:color="auto" w:fill="EEF2F6"/>
          </w:tcPr>
          <w:p>
            <w:pPr>
              <w:pStyle w:val="Compact"/>
              <w:spacing w:before="20" w:after="20"/>
            </w:pPr>
          </w:p>
        </w:tc>
        <w:tc>
          <w:tcPr>
            <w:tcW w:w="1628" w:type="dxa"/>
            <w:shd w:val="clear" w:color="auto" w:fill="EEF2F6"/>
          </w:tcPr>
          <w:p>
            <w:pPr>
              <w:pStyle w:val="Compact"/>
              <w:spacing w:before="20" w:after="20"/>
            </w:pPr>
          </w:p>
        </w:tc>
        <w:tc>
          <w:tcPr>
            <w:tcW w:w="1161" w:type="dxa"/>
            <w:shd w:val="clear" w:color="auto" w:fill="EEF2F6"/>
          </w:tcPr>
          <w:p>
            <w:pPr>
              <w:pStyle w:val="Compact"/>
              <w:spacing w:before="20" w:after="20"/>
            </w:pPr>
          </w:p>
        </w:tc>
        <w:tc>
          <w:tcPr>
            <w:tcW w:w="1320" w:type="dxa"/>
            <w:shd w:val="clear" w:color="auto" w:fill="EEF2F6"/>
          </w:tcPr>
          <w:p>
            <w:pPr>
              <w:pStyle w:val="Compact"/>
              <w:spacing w:before="20" w:after="20"/>
            </w:pPr>
          </w:p>
        </w:tc>
        <w:tc>
          <w:tcPr>
            <w:tcW w:w="1122" w:type="dxa"/>
            <w:shd w:val="clear" w:color="auto" w:fill="EEF2F6"/>
          </w:tcPr>
          <w:p>
            <w:pPr>
              <w:pStyle w:val="Compact"/>
              <w:spacing w:before="20" w:after="20"/>
            </w:pPr>
          </w:p>
        </w:tc>
      </w:tr>
    </w:tbl>
    <w:p>
      <w:pPr>
        <w:pStyle w:val="BodyText"/>
      </w:pPr>
      <w:r>
        <w:rPr>
          <w:bCs/>
          <w:b/>
        </w:rPr>
        <w:t>Familles</w:t>
      </w:r>
      <w:r>
        <w:t xml:space="preserve"> </w:t>
      </w:r>
      <w:r>
        <w:t>: personnes et compétences (rôles, jamais de noms) · locaux et équipements · applications et données · prestataires et fournisseurs · informations hors système d’information (procédures, annuaires, documents nécessaires si le SI est indisponible).</w:t>
      </w:r>
    </w:p>
    <w:bookmarkEnd w:id="46"/>
    <w:bookmarkStart w:id="47" w:name="exigences-sur-les-ressources"/>
    <w:p>
      <w:pPr>
        <w:pStyle w:val="Heading2"/>
      </w:pPr>
      <w:r>
        <w:t>6.2 Exigences sur les ressources</w:t>
      </w:r>
    </w:p>
    <w:p>
      <w:pPr>
        <w:pStyle w:val="BlockText"/>
      </w:pPr>
      <w:r>
        <w:t>Une ressource utilisée par plusieurs activités</w:t>
      </w:r>
      <w:r>
        <w:t xml:space="preserve"> </w:t>
      </w:r>
      <w:r>
        <w:rPr>
          <w:bCs/>
          <w:b/>
        </w:rPr>
        <w:t>hérite de l’exigence la plus forte</w:t>
      </w:r>
      <w:r>
        <w:t xml:space="preserve"> </w:t>
      </w:r>
      <w:r>
        <w:t>: son RTO requis est le plus court des RTO des activités qui l’utilisent, son PRD requis le plus court de leurs PRD. Elle doit être disponible avant l’objectif de délai de reprise de l’activité la plus exigeante.</w:t>
      </w:r>
    </w:p>
    <w:p>
      <w:pPr>
        <w:pStyle w:val="FirstParagraph"/>
      </w:pPr>
      <w:r>
        <w:t>C’est la logique du NIST SP 800-34 : la durée tolérable se fixe pour le processus métier, le délai de reprise pour chacune des ressources qui le servent.</w:t>
      </w:r>
    </w:p>
    <w:bookmarkEnd w:id="47"/>
    <w:bookmarkStart w:id="48" w:name="X29f7f28ef56241b7f82d7bc81770dff19fa73e8"/>
    <w:p>
      <w:pPr>
        <w:pStyle w:val="Heading2"/>
      </w:pPr>
      <w:r>
        <w:t>6.3 Capacités constatées et points de concentration</w:t>
      </w:r>
    </w:p>
    <w:p>
      <w:pPr>
        <w:numPr>
          <w:ilvl w:val="0"/>
          <w:numId w:val="1003"/>
        </w:numPr>
        <w:pStyle w:val="Compact"/>
      </w:pPr>
      <w:r>
        <w:rPr>
          <w:bCs/>
          <w:b/>
        </w:rPr>
        <w:t>Capacité constatée</w:t>
      </w:r>
      <w:r>
        <w:t xml:space="preserve"> </w:t>
      </w:r>
      <w:r>
        <w:t>: ce que l’on sait réellement de la capacité de reprise de la ressource, avec sa source — résultat du dernier exercice, plan de reprise existant, engagement contractuel du prestataire. À défaut :</w:t>
      </w:r>
      <w:r>
        <w:t xml:space="preserve"> </w:t>
      </w:r>
      <w:r>
        <w:rPr>
          <w:bCs/>
          <w:b/>
        </w:rPr>
        <w:t>« Inconnue »</w:t>
      </w:r>
      <w:r>
        <w:t>, qui est déjà un résultat.</w:t>
      </w:r>
    </w:p>
    <w:p>
      <w:pPr>
        <w:numPr>
          <w:ilvl w:val="0"/>
          <w:numId w:val="1003"/>
        </w:numPr>
        <w:pStyle w:val="Compact"/>
      </w:pPr>
      <w:r>
        <w:rPr>
          <w:bCs/>
          <w:b/>
        </w:rPr>
        <w:t>Point de concentration</w:t>
      </w:r>
      <w:r>
        <w:t xml:space="preserve"> </w:t>
      </w:r>
      <w:r>
        <w:t>: ressource utilisée par au moins deux activités prioritaires et sans solution de rechange. Chaque point de concentration est remonté dans la synthèse pour la direction.</w:t>
      </w:r>
    </w:p>
    <w:p>
      <w:r>
        <w:pict>
          <v:rect style="width:0;height:1.5pt" o:hralign="center" o:hrstd="t" o:hr="t"/>
        </w:pict>
      </w:r>
    </w:p>
    <w:bookmarkEnd w:id="48"/>
    <w:bookmarkEnd w:id="49"/>
    <w:bookmarkStart w:id="54" w:name="consolidation"/>
    <w:p>
      <w:pPr>
        <w:pStyle w:val="Heading1"/>
      </w:pPr>
      <w:r>
        <w:t>7. Consolidation</w:t>
      </w:r>
    </w:p>
    <w:p>
      <w:pPr>
        <w:pStyle w:val="FirstParagraph"/>
      </w:pPr>
      <w:r>
        <w:rPr>
          <w:iCs/>
          <w:i/>
        </w:rPr>
        <w:t>Étape 6. Le classeur produit les tableaux de cette section.</w:t>
      </w:r>
    </w:p>
    <w:bookmarkStart w:id="50" w:name="classes-de-criticité"/>
    <w:p>
      <w:pPr>
        <w:keepNext/>
        <w:pStyle w:val="Heading2"/>
      </w:pPr>
      <w:r>
        <w:t>7.1 Classes de criticité</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776"/>
        <w:gridCol w:w="3530"/>
        <w:gridCol w:w="4105"/>
      </w:tblGrid>
      <w:tr>
        <w:trPr>
          <w:tblHeader w:val="true"/>
          <w:cantSplit w:val="true"/>
          <w:tblHeader w:val="true"/>
        </w:trPr>
        <w:tc>
          <w:tcPr>
            <w:tcW w:w="1776" w:type="dxa"/>
            <w:shd w:val="clear" w:color="auto" w:fill="1F3A5F"/>
          </w:tcPr>
          <w:p>
            <w:pPr>
              <w:pStyle w:val="Compact"/>
              <w:spacing w:before="20" w:after="20"/>
              <w:jc w:val="left"/>
            </w:pPr>
            <w:r>
              <w:rPr>
                <w:b/>
                <w:color w:val="FFFFFF"/>
                <w:sz w:val="18"/>
              </w:rPr>
              <w:t>Classe</w:t>
            </w:r>
          </w:p>
        </w:tc>
        <w:tc>
          <w:tcPr>
            <w:tcW w:w="3530" w:type="dxa"/>
            <w:shd w:val="clear" w:color="auto" w:fill="1F3A5F"/>
          </w:tcPr>
          <w:p>
            <w:pPr>
              <w:pStyle w:val="Compact"/>
              <w:spacing w:before="20" w:after="20"/>
              <w:jc w:val="left"/>
            </w:pPr>
            <w:r>
              <w:rPr>
                <w:b/>
                <w:color w:val="FFFFFF"/>
                <w:sz w:val="18"/>
              </w:rPr>
              <w:t>Objectif de délai de reprise</w:t>
            </w:r>
          </w:p>
        </w:tc>
        <w:tc>
          <w:tcPr>
            <w:tcW w:w="4105" w:type="dxa"/>
            <w:shd w:val="clear" w:color="auto" w:fill="1F3A5F"/>
          </w:tcPr>
          <w:p>
            <w:pPr>
              <w:pStyle w:val="Compact"/>
              <w:spacing w:before="20" w:after="20"/>
              <w:jc w:val="left"/>
            </w:pPr>
            <w:r>
              <w:rPr>
                <w:b/>
                <w:color w:val="FFFFFF"/>
                <w:sz w:val="18"/>
              </w:rPr>
              <w:t>Usage aval</w:t>
            </w:r>
          </w:p>
        </w:tc>
      </w:tr>
      <w:tr>
        <w:trPr>
          <w:cantSplit w:val="true"/>
        </w:trPr>
        <w:tc>
          <w:tcPr>
            <w:tcW w:w="1776" w:type="dxa"/>
          </w:tcPr>
          <w:p>
            <w:pPr>
              <w:pStyle w:val="Compact"/>
              <w:spacing w:before="20" w:after="20"/>
              <w:jc w:val="left"/>
            </w:pPr>
            <w:r>
              <w:rPr>
                <w:sz w:val="18"/>
              </w:rPr>
              <w:t>C0 (facultative)</w:t>
            </w:r>
          </w:p>
        </w:tc>
        <w:tc>
          <w:tcPr>
            <w:tcW w:w="3530" w:type="dxa"/>
          </w:tcPr>
          <w:p>
            <w:pPr>
              <w:pStyle w:val="Compact"/>
              <w:spacing w:before="20" w:after="20"/>
              <w:jc w:val="left"/>
            </w:pPr>
            <w:r>
              <w:rPr>
                <w:sz w:val="18"/>
              </w:rPr>
              <w:t>≤ 1 heure</w:t>
            </w:r>
          </w:p>
        </w:tc>
        <w:tc>
          <w:tcPr>
            <w:tcW w:w="4105" w:type="dxa"/>
          </w:tcPr>
          <w:p>
            <w:pPr>
              <w:pStyle w:val="Compact"/>
              <w:spacing w:before="20" w:after="20"/>
              <w:jc w:val="left"/>
            </w:pPr>
            <w:r>
              <w:rPr>
                <w:sz w:val="18"/>
              </w:rPr>
              <w:t>Solutions de haute disponibilité</w:t>
            </w:r>
          </w:p>
        </w:tc>
      </w:tr>
      <w:tr>
        <w:trPr>
          <w:cantSplit w:val="true"/>
        </w:trPr>
        <w:tc>
          <w:tcPr>
            <w:tcW w:w="1776" w:type="dxa"/>
            <w:shd w:val="clear" w:color="auto" w:fill="EEF2F6"/>
          </w:tcPr>
          <w:p>
            <w:pPr>
              <w:pStyle w:val="Compact"/>
              <w:spacing w:before="20" w:after="20"/>
              <w:jc w:val="left"/>
            </w:pPr>
            <w:r>
              <w:rPr>
                <w:sz w:val="18"/>
              </w:rPr>
              <w:t>C1</w:t>
            </w:r>
          </w:p>
        </w:tc>
        <w:tc>
          <w:tcPr>
            <w:tcW w:w="3530" w:type="dxa"/>
            <w:shd w:val="clear" w:color="auto" w:fill="EEF2F6"/>
          </w:tcPr>
          <w:p>
            <w:pPr>
              <w:pStyle w:val="Compact"/>
              <w:spacing w:before="20" w:after="20"/>
              <w:jc w:val="left"/>
            </w:pPr>
            <w:r>
              <w:rPr>
                <w:sz w:val="18"/>
              </w:rPr>
              <w:t>≤ 4 heures</w:t>
            </w:r>
          </w:p>
        </w:tc>
        <w:tc>
          <w:tcPr>
            <w:tcW w:w="4105" w:type="dxa"/>
            <w:shd w:val="clear" w:color="auto" w:fill="EEF2F6"/>
          </w:tcPr>
          <w:p>
            <w:pPr>
              <w:pStyle w:val="Compact"/>
              <w:spacing w:before="20" w:after="20"/>
              <w:jc w:val="left"/>
            </w:pPr>
            <w:r>
              <w:rPr>
                <w:sz w:val="18"/>
              </w:rPr>
              <w:t>Première vague de reprise</w:t>
            </w:r>
          </w:p>
        </w:tc>
      </w:tr>
      <w:tr>
        <w:trPr>
          <w:cantSplit w:val="true"/>
        </w:trPr>
        <w:tc>
          <w:tcPr>
            <w:tcW w:w="1776" w:type="dxa"/>
          </w:tcPr>
          <w:p>
            <w:pPr>
              <w:pStyle w:val="Compact"/>
              <w:spacing w:before="20" w:after="20"/>
              <w:jc w:val="left"/>
            </w:pPr>
            <w:r>
              <w:rPr>
                <w:sz w:val="18"/>
              </w:rPr>
              <w:t>C2</w:t>
            </w:r>
          </w:p>
        </w:tc>
        <w:tc>
          <w:tcPr>
            <w:tcW w:w="3530" w:type="dxa"/>
          </w:tcPr>
          <w:p>
            <w:pPr>
              <w:pStyle w:val="Compact"/>
              <w:spacing w:before="20" w:after="20"/>
              <w:jc w:val="left"/>
            </w:pPr>
            <w:r>
              <w:rPr>
                <w:sz w:val="18"/>
              </w:rPr>
              <w:t>≤ 1 jour</w:t>
            </w:r>
          </w:p>
        </w:tc>
        <w:tc>
          <w:tcPr>
            <w:tcW w:w="4105" w:type="dxa"/>
          </w:tcPr>
          <w:p>
            <w:pPr>
              <w:pStyle w:val="Compact"/>
              <w:spacing w:before="20" w:after="20"/>
              <w:jc w:val="left"/>
            </w:pPr>
            <w:r>
              <w:rPr>
                <w:sz w:val="18"/>
              </w:rPr>
              <w:t>Deuxième vague</w:t>
            </w:r>
          </w:p>
        </w:tc>
      </w:tr>
      <w:tr>
        <w:trPr>
          <w:cantSplit w:val="true"/>
        </w:trPr>
        <w:tc>
          <w:tcPr>
            <w:tcW w:w="1776" w:type="dxa"/>
            <w:shd w:val="clear" w:color="auto" w:fill="EEF2F6"/>
          </w:tcPr>
          <w:p>
            <w:pPr>
              <w:pStyle w:val="Compact"/>
              <w:spacing w:before="20" w:after="20"/>
              <w:jc w:val="left"/>
            </w:pPr>
            <w:r>
              <w:rPr>
                <w:sz w:val="18"/>
              </w:rPr>
              <w:t>C3</w:t>
            </w:r>
          </w:p>
        </w:tc>
        <w:tc>
          <w:tcPr>
            <w:tcW w:w="3530" w:type="dxa"/>
            <w:shd w:val="clear" w:color="auto" w:fill="EEF2F6"/>
          </w:tcPr>
          <w:p>
            <w:pPr>
              <w:pStyle w:val="Compact"/>
              <w:spacing w:before="20" w:after="20"/>
              <w:jc w:val="left"/>
            </w:pPr>
            <w:r>
              <w:rPr>
                <w:sz w:val="18"/>
              </w:rPr>
              <w:t>≤ 3 jours</w:t>
            </w:r>
          </w:p>
        </w:tc>
        <w:tc>
          <w:tcPr>
            <w:tcW w:w="4105" w:type="dxa"/>
            <w:shd w:val="clear" w:color="auto" w:fill="EEF2F6"/>
          </w:tcPr>
          <w:p>
            <w:pPr>
              <w:pStyle w:val="Compact"/>
              <w:spacing w:before="20" w:after="20"/>
              <w:jc w:val="left"/>
            </w:pPr>
            <w:r>
              <w:rPr>
                <w:sz w:val="18"/>
              </w:rPr>
              <w:t>Troisième vague</w:t>
            </w:r>
          </w:p>
        </w:tc>
      </w:tr>
      <w:tr>
        <w:trPr>
          <w:cantSplit w:val="true"/>
        </w:trPr>
        <w:tc>
          <w:tcPr>
            <w:tcW w:w="1776" w:type="dxa"/>
          </w:tcPr>
          <w:p>
            <w:pPr>
              <w:pStyle w:val="Compact"/>
              <w:spacing w:before="20" w:after="20"/>
              <w:jc w:val="left"/>
            </w:pPr>
            <w:r>
              <w:rPr>
                <w:sz w:val="18"/>
              </w:rPr>
              <w:t>C4</w:t>
            </w:r>
          </w:p>
        </w:tc>
        <w:tc>
          <w:tcPr>
            <w:tcW w:w="3530" w:type="dxa"/>
          </w:tcPr>
          <w:p>
            <w:pPr>
              <w:pStyle w:val="Compact"/>
              <w:spacing w:before="20" w:after="20"/>
              <w:jc w:val="left"/>
            </w:pPr>
            <w:r>
              <w:rPr>
                <w:sz w:val="18"/>
              </w:rPr>
              <w:t>&gt; 3 jours</w:t>
            </w:r>
          </w:p>
        </w:tc>
        <w:tc>
          <w:tcPr>
            <w:tcW w:w="4105" w:type="dxa"/>
          </w:tcPr>
          <w:p>
            <w:pPr>
              <w:pStyle w:val="Compact"/>
              <w:spacing w:before="20" w:after="20"/>
              <w:jc w:val="left"/>
            </w:pPr>
            <w:r>
              <w:rPr>
                <w:sz w:val="18"/>
              </w:rPr>
              <w:t>Reprise planifiée</w:t>
            </w:r>
          </w:p>
        </w:tc>
      </w:tr>
    </w:tbl>
    <w:p>
      <w:pPr>
        <w:pStyle w:val="BodyText"/>
      </w:pPr>
      <w:r>
        <w:rPr>
          <w:bCs/>
          <w:b/>
        </w:rPr>
        <w:t>[À VALIDER]</w:t>
      </w:r>
      <w:r>
        <w:t xml:space="preserve"> </w:t>
      </w:r>
      <w:r>
        <w:t>Les classes servent ensuite à ordonner la reprise dans le PCA et les vagues de restauration de la stratégie de sauvegarde.</w:t>
      </w:r>
    </w:p>
    <w:bookmarkEnd w:id="50"/>
    <w:bookmarkStart w:id="51" w:name="contrôle-de-répartition"/>
    <w:p>
      <w:pPr>
        <w:pStyle w:val="Heading2"/>
      </w:pPr>
      <w:r>
        <w:t>7.2 Contrôle de répartition</w:t>
      </w:r>
    </w:p>
    <w:p>
      <w:pPr>
        <w:pStyle w:val="BlockText"/>
      </w:pPr>
      <w:r>
        <w:t>Si plus d’</w:t>
      </w:r>
      <w:r>
        <w:rPr>
          <w:bCs/>
          <w:b/>
        </w:rPr>
        <w:t>un tiers</w:t>
      </w:r>
      <w:r>
        <w:t xml:space="preserve"> </w:t>
      </w:r>
      <w:r>
        <w:t>des activités analysées se trouvent dans la classe la plus exigeante utilisée, la grille est probablement mal calibrée ou des seuils ont été fixés par prudence. On revient sur la grille (§3) avec le commanditaire avant de présenter les résultats.</w:t>
      </w:r>
      <w:r>
        <w:t xml:space="preserve"> </w:t>
      </w:r>
      <w:r>
        <w:rPr>
          <w:bCs/>
          <w:b/>
        </w:rPr>
        <w:t>[À VALIDER]</w:t>
      </w:r>
    </w:p>
    <w:bookmarkEnd w:id="51"/>
    <w:bookmarkStart w:id="52" w:name="écarts-entre-besoins-et-capacités"/>
    <w:p>
      <w:pPr>
        <w:keepNext/>
        <w:pStyle w:val="Heading2"/>
      </w:pPr>
      <w:r>
        <w:t>7.3 Écarts entre besoins et capacités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328"/>
        <w:gridCol w:w="992"/>
        <w:gridCol w:w="1573"/>
        <w:gridCol w:w="2502"/>
        <w:gridCol w:w="3016"/>
      </w:tblGrid>
      <w:tr>
        <w:trPr>
          <w:tblHeader w:val="true"/>
          <w:cantSplit w:val="true"/>
          <w:tblHeader w:val="true"/>
        </w:trPr>
        <w:tc>
          <w:tcPr>
            <w:tcW w:w="1328" w:type="dxa"/>
            <w:shd w:val="clear" w:color="auto" w:fill="1F3A5F"/>
          </w:tcPr>
          <w:p>
            <w:pPr>
              <w:pStyle w:val="Compact"/>
              <w:spacing w:before="20" w:after="20"/>
              <w:jc w:val="left"/>
            </w:pPr>
            <w:r>
              <w:rPr>
                <w:b/>
                <w:color w:val="FFFFFF"/>
                <w:sz w:val="18"/>
              </w:rPr>
              <w:t>Ressource</w:t>
            </w:r>
          </w:p>
        </w:tc>
        <w:tc>
          <w:tcPr>
            <w:tcW w:w="992" w:type="dxa"/>
            <w:shd w:val="clear" w:color="auto" w:fill="1F3A5F"/>
          </w:tcPr>
          <w:p>
            <w:pPr>
              <w:pStyle w:val="Compact"/>
              <w:spacing w:before="20" w:after="20"/>
              <w:jc w:val="left"/>
            </w:pPr>
            <w:r>
              <w:rPr>
                <w:b/>
                <w:color w:val="FFFFFF"/>
                <w:sz w:val="18"/>
              </w:rPr>
              <w:t>RTO requis</w:t>
            </w:r>
          </w:p>
        </w:tc>
        <w:tc>
          <w:tcPr>
            <w:tcW w:w="1573" w:type="dxa"/>
            <w:shd w:val="clear" w:color="auto" w:fill="1F3A5F"/>
          </w:tcPr>
          <w:p>
            <w:pPr>
              <w:pStyle w:val="Compact"/>
              <w:spacing w:before="20" w:after="20"/>
              <w:jc w:val="left"/>
            </w:pPr>
            <w:r>
              <w:rPr>
                <w:b/>
                <w:color w:val="FFFFFF"/>
                <w:sz w:val="18"/>
              </w:rPr>
              <w:t>Capacité constatée</w:t>
            </w:r>
          </w:p>
        </w:tc>
        <w:tc>
          <w:tcPr>
            <w:tcW w:w="2502" w:type="dxa"/>
            <w:shd w:val="clear" w:color="auto" w:fill="1F3A5F"/>
          </w:tcPr>
          <w:p>
            <w:pPr>
              <w:pStyle w:val="Compact"/>
              <w:spacing w:before="20" w:after="20"/>
              <w:jc w:val="left"/>
            </w:pPr>
            <w:r>
              <w:rPr>
                <w:b/>
                <w:color w:val="FFFFFF"/>
                <w:sz w:val="18"/>
              </w:rPr>
              <w:t>Écart</w:t>
            </w:r>
          </w:p>
        </w:tc>
        <w:tc>
          <w:tcPr>
            <w:tcW w:w="3016" w:type="dxa"/>
            <w:shd w:val="clear" w:color="auto" w:fill="1F3A5F"/>
          </w:tcPr>
          <w:p>
            <w:pPr>
              <w:pStyle w:val="Compact"/>
              <w:spacing w:before="20" w:after="20"/>
              <w:jc w:val="left"/>
            </w:pPr>
            <w:r>
              <w:rPr>
                <w:b/>
                <w:color w:val="FFFFFF"/>
                <w:sz w:val="18"/>
              </w:rPr>
              <w:t>Traitement proposé</w:t>
            </w:r>
          </w:p>
        </w:tc>
      </w:tr>
      <w:tr>
        <w:trPr>
          <w:cantSplit w:val="true"/>
        </w:trPr>
        <w:tc>
          <w:tcPr>
            <w:tcW w:w="1328" w:type="dxa"/>
          </w:tcPr>
          <w:p>
            <w:pPr>
              <w:pStyle w:val="Compact"/>
              <w:spacing w:before="20" w:after="20"/>
            </w:pPr>
          </w:p>
        </w:tc>
        <w:tc>
          <w:tcPr>
            <w:tcW w:w="992" w:type="dxa"/>
          </w:tcPr>
          <w:p>
            <w:pPr>
              <w:pStyle w:val="Compact"/>
              <w:spacing w:before="20" w:after="20"/>
            </w:pPr>
          </w:p>
        </w:tc>
        <w:tc>
          <w:tcPr>
            <w:tcW w:w="1573" w:type="dxa"/>
          </w:tcPr>
          <w:p>
            <w:pPr>
              <w:pStyle w:val="Compact"/>
              <w:spacing w:before="20" w:after="20"/>
            </w:pPr>
          </w:p>
        </w:tc>
        <w:tc>
          <w:tcPr>
            <w:tcW w:w="2502" w:type="dxa"/>
          </w:tcPr>
          <w:p>
            <w:pPr>
              <w:pStyle w:val="Compact"/>
              <w:spacing w:before="20" w:after="20"/>
              <w:jc w:val="left"/>
            </w:pPr>
            <w:r>
              <w:rPr>
                <w:sz w:val="18"/>
              </w:rPr>
              <w:t>☐ Écart ☐ Inconnue ☐ Conforme</w:t>
            </w:r>
          </w:p>
        </w:tc>
        <w:tc>
          <w:tcPr>
            <w:tcW w:w="3016" w:type="dxa"/>
          </w:tcPr>
          <w:p>
            <w:pPr>
              <w:pStyle w:val="Compact"/>
              <w:spacing w:before="20" w:after="20"/>
              <w:jc w:val="left"/>
            </w:pPr>
            <w:r>
              <w:rPr>
                <w:sz w:val="18"/>
              </w:rPr>
              <w:t>☐ Traiter ☐ Compenser ☐ Accepter</w:t>
            </w:r>
          </w:p>
        </w:tc>
      </w:tr>
    </w:tbl>
    <w:p>
      <w:pPr>
        <w:pStyle w:val="BodyText"/>
      </w:pPr>
      <w:r>
        <w:t>Les écarts ne sont pas des défauts de l’analyse : ils en sont le produit le plus utile. Ils constituent l’entrée de la stratégie de continuité.</w:t>
      </w:r>
    </w:p>
    <w:bookmarkEnd w:id="52"/>
    <w:bookmarkStart w:id="53" w:name="lien-avec-lanalyse-de-risques"/>
    <w:p>
      <w:pPr>
        <w:keepNext/>
        <w:pStyle w:val="Heading2"/>
      </w:pPr>
      <w:r>
        <w:t>7.4 Lien avec l’analyse de risques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426"/>
        <w:gridCol w:w="5985"/>
      </w:tblGrid>
      <w:tr>
        <w:trPr>
          <w:tblHeader w:val="true"/>
          <w:cantSplit w:val="true"/>
          <w:tblHeader w:val="true"/>
        </w:trPr>
        <w:tc>
          <w:tcPr>
            <w:tcW w:w="3426" w:type="dxa"/>
            <w:shd w:val="clear" w:color="auto" w:fill="1F3A5F"/>
          </w:tcPr>
          <w:p>
            <w:pPr>
              <w:pStyle w:val="Compact"/>
              <w:spacing w:before="20" w:after="20"/>
              <w:jc w:val="left"/>
            </w:pPr>
            <w:r>
              <w:rPr>
                <w:b/>
                <w:color w:val="FFFFFF"/>
                <w:sz w:val="18"/>
              </w:rPr>
              <w:t>Élément du BIA</w:t>
            </w:r>
          </w:p>
        </w:tc>
        <w:tc>
          <w:tcPr>
            <w:tcW w:w="5985" w:type="dxa"/>
            <w:shd w:val="clear" w:color="auto" w:fill="1F3A5F"/>
          </w:tcPr>
          <w:p>
            <w:pPr>
              <w:pStyle w:val="Compact"/>
              <w:spacing w:before="20" w:after="20"/>
              <w:jc w:val="left"/>
            </w:pPr>
            <w:r>
              <w:rPr>
                <w:b/>
                <w:color w:val="FFFFFF"/>
                <w:sz w:val="18"/>
              </w:rPr>
              <w:t>Usage dans EBIOS Risk Manager (atelier 1)</w:t>
            </w:r>
          </w:p>
        </w:tc>
      </w:tr>
      <w:tr>
        <w:trPr>
          <w:cantSplit w:val="true"/>
        </w:trPr>
        <w:tc>
          <w:tcPr>
            <w:tcW w:w="3426" w:type="dxa"/>
          </w:tcPr>
          <w:p>
            <w:pPr>
              <w:pStyle w:val="Compact"/>
              <w:spacing w:before="20" w:after="20"/>
              <w:jc w:val="left"/>
            </w:pPr>
            <w:r>
              <w:rPr>
                <w:sz w:val="18"/>
              </w:rPr>
              <w:t>Services et activités prioritaires</w:t>
            </w:r>
          </w:p>
        </w:tc>
        <w:tc>
          <w:tcPr>
            <w:tcW w:w="5985" w:type="dxa"/>
          </w:tcPr>
          <w:p>
            <w:pPr>
              <w:pStyle w:val="Compact"/>
              <w:spacing w:before="20" w:after="20"/>
              <w:jc w:val="left"/>
            </w:pPr>
            <w:r>
              <w:rPr>
                <w:sz w:val="18"/>
              </w:rPr>
              <w:t>Valeurs métier (le guide conseille d’en retenir de 5 à 10)</w:t>
            </w:r>
          </w:p>
        </w:tc>
      </w:tr>
      <w:tr>
        <w:trPr>
          <w:cantSplit w:val="true"/>
        </w:trPr>
        <w:tc>
          <w:tcPr>
            <w:tcW w:w="3426" w:type="dxa"/>
            <w:shd w:val="clear" w:color="auto" w:fill="EEF2F6"/>
          </w:tcPr>
          <w:p>
            <w:pPr>
              <w:pStyle w:val="Compact"/>
              <w:spacing w:before="20" w:after="20"/>
              <w:jc w:val="left"/>
            </w:pPr>
            <w:r>
              <w:rPr>
                <w:sz w:val="18"/>
              </w:rPr>
              <w:t>Ressources</w:t>
            </w:r>
          </w:p>
        </w:tc>
        <w:tc>
          <w:tcPr>
            <w:tcW w:w="5985" w:type="dxa"/>
            <w:shd w:val="clear" w:color="auto" w:fill="EEF2F6"/>
          </w:tcPr>
          <w:p>
            <w:pPr>
              <w:pStyle w:val="Compact"/>
              <w:spacing w:before="20" w:after="20"/>
              <w:jc w:val="left"/>
            </w:pPr>
            <w:r>
              <w:rPr>
                <w:sz w:val="18"/>
              </w:rPr>
              <w:t>Biens supports</w:t>
            </w:r>
          </w:p>
        </w:tc>
      </w:tr>
      <w:tr>
        <w:trPr>
          <w:cantSplit w:val="true"/>
        </w:trPr>
        <w:tc>
          <w:tcPr>
            <w:tcW w:w="3426" w:type="dxa"/>
          </w:tcPr>
          <w:p>
            <w:pPr>
              <w:pStyle w:val="Compact"/>
              <w:spacing w:before="20" w:after="20"/>
              <w:jc w:val="left"/>
            </w:pPr>
            <w:r>
              <w:rPr>
                <w:sz w:val="18"/>
              </w:rPr>
              <w:t>Échelle d’impact (§3.2)</w:t>
            </w:r>
          </w:p>
        </w:tc>
        <w:tc>
          <w:tcPr>
            <w:tcW w:w="5985" w:type="dxa"/>
          </w:tcPr>
          <w:p>
            <w:pPr>
              <w:pStyle w:val="Compact"/>
              <w:spacing w:before="20" w:after="20"/>
              <w:jc w:val="left"/>
            </w:pPr>
            <w:r>
              <w:rPr>
                <w:sz w:val="18"/>
              </w:rPr>
              <w:t>Échelle de gravité</w:t>
            </w:r>
          </w:p>
        </w:tc>
      </w:tr>
    </w:tbl>
    <w:p>
      <w:r>
        <w:pict>
          <v:rect style="width:0;height:1.5pt" o:hralign="center" o:hrstd="t" o:hr="t"/>
        </w:pict>
      </w:r>
    </w:p>
    <w:bookmarkEnd w:id="53"/>
    <w:bookmarkEnd w:id="54"/>
    <w:bookmarkStart w:id="60" w:name="validation-diffusion-et-revue"/>
    <w:p>
      <w:pPr>
        <w:pStyle w:val="Heading1"/>
      </w:pPr>
      <w:r>
        <w:t>8. Validation, diffusion et revue</w:t>
      </w:r>
    </w:p>
    <w:bookmarkStart w:id="55" w:name="circuit-de-validation"/>
    <w:p>
      <w:pPr>
        <w:keepNext/>
        <w:pStyle w:val="Heading2"/>
      </w:pPr>
      <w:r>
        <w:t>8.1 Circuit de validation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880"/>
        <w:gridCol w:w="2519"/>
        <w:gridCol w:w="4073"/>
        <w:gridCol w:w="1939"/>
      </w:tblGrid>
      <w:tr>
        <w:trPr>
          <w:tblHeader w:val="true"/>
          <w:cantSplit w:val="true"/>
          <w:tblHeader w:val="true"/>
        </w:trPr>
        <w:tc>
          <w:tcPr>
            <w:tcW w:w="880" w:type="dxa"/>
            <w:shd w:val="clear" w:color="auto" w:fill="1F3A5F"/>
          </w:tcPr>
          <w:p>
            <w:pPr>
              <w:pStyle w:val="Compact"/>
              <w:spacing w:before="20" w:after="20"/>
              <w:jc w:val="left"/>
            </w:pPr>
            <w:r>
              <w:rPr>
                <w:b/>
                <w:color w:val="FFFFFF"/>
                <w:sz w:val="18"/>
              </w:rPr>
              <w:t>Étape</w:t>
            </w:r>
          </w:p>
        </w:tc>
        <w:tc>
          <w:tcPr>
            <w:tcW w:w="2519" w:type="dxa"/>
            <w:shd w:val="clear" w:color="auto" w:fill="1F3A5F"/>
          </w:tcPr>
          <w:p>
            <w:pPr>
              <w:pStyle w:val="Compact"/>
              <w:spacing w:before="20" w:after="20"/>
              <w:jc w:val="left"/>
            </w:pPr>
            <w:r>
              <w:rPr>
                <w:b/>
                <w:color w:val="FFFFFF"/>
                <w:sz w:val="18"/>
              </w:rPr>
              <w:t>Qui</w:t>
            </w:r>
          </w:p>
        </w:tc>
        <w:tc>
          <w:tcPr>
            <w:tcW w:w="4073" w:type="dxa"/>
            <w:shd w:val="clear" w:color="auto" w:fill="1F3A5F"/>
          </w:tcPr>
          <w:p>
            <w:pPr>
              <w:pStyle w:val="Compact"/>
              <w:spacing w:before="20" w:after="20"/>
              <w:jc w:val="left"/>
            </w:pPr>
            <w:r>
              <w:rPr>
                <w:b/>
                <w:color w:val="FFFFFF"/>
                <w:sz w:val="18"/>
              </w:rPr>
              <w:t>Quoi</w:t>
            </w:r>
          </w:p>
        </w:tc>
        <w:tc>
          <w:tcPr>
            <w:tcW w:w="1939" w:type="dxa"/>
            <w:shd w:val="clear" w:color="auto" w:fill="1F3A5F"/>
          </w:tcPr>
          <w:p>
            <w:pPr>
              <w:pStyle w:val="Compact"/>
              <w:spacing w:before="20" w:after="20"/>
              <w:jc w:val="left"/>
            </w:pPr>
            <w:r>
              <w:rPr>
                <w:b/>
                <w:color w:val="FFFFFF"/>
                <w:sz w:val="18"/>
              </w:rPr>
              <w:t>Preuve</w:t>
            </w:r>
          </w:p>
        </w:tc>
      </w:tr>
      <w:tr>
        <w:trPr>
          <w:cantSplit w:val="true"/>
        </w:trPr>
        <w:tc>
          <w:tcPr>
            <w:tcW w:w="880" w:type="dxa"/>
          </w:tcPr>
          <w:p>
            <w:pPr>
              <w:pStyle w:val="Compact"/>
              <w:spacing w:before="20" w:after="20"/>
              <w:jc w:val="left"/>
            </w:pPr>
            <w:r>
              <w:rPr>
                <w:sz w:val="18"/>
              </w:rPr>
              <w:t>1</w:t>
            </w:r>
          </w:p>
        </w:tc>
        <w:tc>
          <w:tcPr>
            <w:tcW w:w="2519" w:type="dxa"/>
          </w:tcPr>
          <w:p>
            <w:pPr>
              <w:pStyle w:val="Compact"/>
              <w:spacing w:before="20" w:after="20"/>
              <w:jc w:val="left"/>
            </w:pPr>
            <w:r>
              <w:rPr>
                <w:sz w:val="18"/>
              </w:rPr>
              <w:t>Responsables d’activité</w:t>
            </w:r>
          </w:p>
        </w:tc>
        <w:tc>
          <w:tcPr>
            <w:tcW w:w="4073" w:type="dxa"/>
          </w:tcPr>
          <w:p>
            <w:pPr>
              <w:pStyle w:val="Compact"/>
              <w:spacing w:before="20" w:after="20"/>
              <w:jc w:val="left"/>
            </w:pPr>
            <w:r>
              <w:rPr>
                <w:sz w:val="18"/>
              </w:rPr>
              <w:t>Valident leurs fiches</w:t>
            </w:r>
          </w:p>
        </w:tc>
        <w:tc>
          <w:tcPr>
            <w:tcW w:w="1939" w:type="dxa"/>
          </w:tcPr>
          <w:p>
            <w:pPr>
              <w:pStyle w:val="Compact"/>
              <w:spacing w:before="20" w:after="20"/>
              <w:jc w:val="left"/>
            </w:pPr>
            <w:r>
              <w:rPr>
                <w:sz w:val="18"/>
              </w:rPr>
              <w:t>Fonction et date sur chaque fiche</w:t>
            </w:r>
          </w:p>
        </w:tc>
      </w:tr>
      <w:tr>
        <w:trPr>
          <w:cantSplit w:val="true"/>
        </w:trPr>
        <w:tc>
          <w:tcPr>
            <w:tcW w:w="880" w:type="dxa"/>
            <w:shd w:val="clear" w:color="auto" w:fill="EEF2F6"/>
          </w:tcPr>
          <w:p>
            <w:pPr>
              <w:pStyle w:val="Compact"/>
              <w:spacing w:before="20" w:after="20"/>
              <w:jc w:val="left"/>
            </w:pPr>
            <w:r>
              <w:rPr>
                <w:sz w:val="18"/>
              </w:rPr>
              <w:t>2</w:t>
            </w:r>
          </w:p>
        </w:tc>
        <w:tc>
          <w:tcPr>
            <w:tcW w:w="2519" w:type="dxa"/>
            <w:shd w:val="clear" w:color="auto" w:fill="EEF2F6"/>
          </w:tcPr>
          <w:p>
            <w:pPr>
              <w:pStyle w:val="Compact"/>
              <w:spacing w:before="20" w:after="20"/>
              <w:jc w:val="left"/>
            </w:pPr>
            <w:r>
              <w:rPr>
                <w:sz w:val="18"/>
              </w:rPr>
              <w:t>Propriétaires métier</w:t>
            </w:r>
          </w:p>
        </w:tc>
        <w:tc>
          <w:tcPr>
            <w:tcW w:w="4073" w:type="dxa"/>
            <w:shd w:val="clear" w:color="auto" w:fill="EEF2F6"/>
          </w:tcPr>
          <w:p>
            <w:pPr>
              <w:pStyle w:val="Compact"/>
              <w:spacing w:before="20" w:after="20"/>
              <w:jc w:val="left"/>
            </w:pPr>
            <w:r>
              <w:rPr>
                <w:sz w:val="18"/>
              </w:rPr>
              <w:t>Valident les seuils de leurs services</w:t>
            </w:r>
          </w:p>
        </w:tc>
        <w:tc>
          <w:tcPr>
            <w:tcW w:w="1939" w:type="dxa"/>
            <w:shd w:val="clear" w:color="auto" w:fill="EEF2F6"/>
          </w:tcPr>
          <w:p>
            <w:pPr>
              <w:pStyle w:val="Compact"/>
              <w:spacing w:before="20" w:after="20"/>
              <w:jc w:val="left"/>
            </w:pPr>
            <w:r>
              <w:rPr>
                <w:sz w:val="18"/>
              </w:rPr>
              <w:t>Registre des services daté</w:t>
            </w:r>
          </w:p>
        </w:tc>
      </w:tr>
      <w:tr>
        <w:trPr>
          <w:cantSplit w:val="true"/>
        </w:trPr>
        <w:tc>
          <w:tcPr>
            <w:tcW w:w="880" w:type="dxa"/>
          </w:tcPr>
          <w:p>
            <w:pPr>
              <w:pStyle w:val="Compact"/>
              <w:spacing w:before="20" w:after="20"/>
              <w:jc w:val="left"/>
            </w:pPr>
            <w:r>
              <w:rPr>
                <w:sz w:val="18"/>
              </w:rPr>
              <w:t>3</w:t>
            </w:r>
          </w:p>
        </w:tc>
        <w:tc>
          <w:tcPr>
            <w:tcW w:w="2519" w:type="dxa"/>
          </w:tcPr>
          <w:p>
            <w:pPr>
              <w:pStyle w:val="Compact"/>
              <w:spacing w:before="20" w:after="20"/>
              <w:jc w:val="left"/>
            </w:pPr>
            <w:r>
              <w:rPr>
                <w:sz w:val="18"/>
              </w:rPr>
              <w:t>Commanditaire</w:t>
            </w:r>
          </w:p>
        </w:tc>
        <w:tc>
          <w:tcPr>
            <w:tcW w:w="4073" w:type="dxa"/>
          </w:tcPr>
          <w:p>
            <w:pPr>
              <w:pStyle w:val="Compact"/>
              <w:spacing w:before="20" w:after="20"/>
              <w:jc w:val="left"/>
            </w:pPr>
            <w:r>
              <w:rPr>
                <w:sz w:val="18"/>
              </w:rPr>
              <w:t>Valide la consolidation et la synthèse</w:t>
            </w:r>
          </w:p>
        </w:tc>
        <w:tc>
          <w:tcPr>
            <w:tcW w:w="1939" w:type="dxa"/>
          </w:tcPr>
          <w:p>
            <w:pPr>
              <w:pStyle w:val="Compact"/>
              <w:spacing w:before="20" w:after="20"/>
              <w:jc w:val="left"/>
            </w:pPr>
            <w:r>
              <w:rPr>
                <w:sz w:val="18"/>
              </w:rPr>
              <w:t>Visa</w:t>
            </w:r>
          </w:p>
        </w:tc>
      </w:tr>
      <w:tr>
        <w:trPr>
          <w:cantSplit w:val="true"/>
        </w:trPr>
        <w:tc>
          <w:tcPr>
            <w:tcW w:w="880" w:type="dxa"/>
            <w:shd w:val="clear" w:color="auto" w:fill="EEF2F6"/>
          </w:tcPr>
          <w:p>
            <w:pPr>
              <w:pStyle w:val="Compact"/>
              <w:spacing w:before="20" w:after="20"/>
              <w:jc w:val="left"/>
            </w:pPr>
            <w:r>
              <w:rPr>
                <w:sz w:val="18"/>
              </w:rPr>
              <w:t>4</w:t>
            </w:r>
          </w:p>
        </w:tc>
        <w:tc>
          <w:tcPr>
            <w:tcW w:w="2519" w:type="dxa"/>
            <w:shd w:val="clear" w:color="auto" w:fill="EEF2F6"/>
          </w:tcPr>
          <w:p>
            <w:pPr>
              <w:pStyle w:val="Compact"/>
              <w:spacing w:before="20" w:after="20"/>
              <w:jc w:val="left"/>
            </w:pPr>
            <w:r>
              <w:rPr>
                <w:sz w:val="18"/>
              </w:rPr>
              <w:t>Direction (</w:t>
            </w:r>
            <w:r>
              <w:rPr>
                <w:rStyle w:val="VerbatimChar"/>
                <w:sz w:val="18"/>
                <w:b/>
                <w:color w:val="8A5A00"/>
              </w:rPr>
              <w:t>{{INSTANCE_DIRECTION}}</w:t>
            </w:r>
            <w:r>
              <w:rPr>
                <w:sz w:val="18"/>
              </w:rPr>
              <w:t>)</w:t>
            </w:r>
          </w:p>
        </w:tc>
        <w:tc>
          <w:tcPr>
            <w:tcW w:w="4073" w:type="dxa"/>
            <w:shd w:val="clear" w:color="auto" w:fill="EEF2F6"/>
          </w:tcPr>
          <w:p>
            <w:pPr>
              <w:pStyle w:val="Compact"/>
              <w:spacing w:before="20" w:after="20"/>
              <w:jc w:val="left"/>
            </w:pPr>
            <w:r>
              <w:rPr>
                <w:sz w:val="18"/>
              </w:rPr>
              <w:t>Valide les priorités et les seuils, arbitre les écarts, accepte les écarts non traités</w:t>
            </w:r>
          </w:p>
        </w:tc>
        <w:tc>
          <w:tcPr>
            <w:tcW w:w="1939" w:type="dxa"/>
            <w:shd w:val="clear" w:color="auto" w:fill="EEF2F6"/>
          </w:tcPr>
          <w:p>
            <w:pPr>
              <w:pStyle w:val="Compact"/>
              <w:spacing w:before="20" w:after="20"/>
              <w:jc w:val="left"/>
            </w:pPr>
            <w:r>
              <w:rPr>
                <w:sz w:val="18"/>
              </w:rPr>
              <w:t>Relevé de décision</w:t>
            </w:r>
          </w:p>
        </w:tc>
      </w:tr>
    </w:tbl>
    <w:p>
      <w:pPr>
        <w:pStyle w:val="BlockText"/>
      </w:pPr>
      <w:r>
        <w:t>Chaque seuil porte la fonction de la personne qui l’a fixé et la date de sa validation. Un seuil sans propriétaire ne tiendra pas la première discussion budgétaire.</w:t>
      </w:r>
    </w:p>
    <w:bookmarkEnd w:id="55"/>
    <w:bookmarkStart w:id="56" w:name="classification-et-diffusion"/>
    <w:p>
      <w:pPr>
        <w:pStyle w:val="Heading2"/>
      </w:pPr>
      <w:r>
        <w:t>8.2 Classification et diffusion</w:t>
      </w:r>
    </w:p>
    <w:p>
      <w:pPr>
        <w:keepNext/>
        <w:pStyle w:val="FirstParagraph"/>
      </w:pPr>
      <w:r>
        <w:t>Une analyse d’impact décrit, par construction, les points faibles de l’organisation. Proposition</w:t>
      </w:r>
      <w:r>
        <w:t xml:space="preserve"> </w:t>
      </w:r>
      <w:r>
        <w:rPr>
          <w:bCs/>
          <w:b/>
        </w:rPr>
        <w:t>[À VALIDER]</w:t>
      </w:r>
      <w:r>
        <w:t xml:space="preserve"> </w:t>
      </w:r>
      <w:r>
        <w: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4117"/>
        <w:gridCol w:w="5294"/>
      </w:tblGrid>
      <w:tr>
        <w:trPr>
          <w:tblHeader w:val="true"/>
          <w:cantSplit w:val="true"/>
          <w:tblHeader w:val="true"/>
        </w:trPr>
        <w:tc>
          <w:tcPr>
            <w:tcW w:w="4117" w:type="dxa"/>
            <w:shd w:val="clear" w:color="auto" w:fill="1F3A5F"/>
          </w:tcPr>
          <w:p>
            <w:pPr>
              <w:pStyle w:val="Compact"/>
              <w:spacing w:before="20" w:after="20"/>
              <w:jc w:val="left"/>
            </w:pPr>
            <w:r>
              <w:rPr>
                <w:b/>
                <w:color w:val="FFFFFF"/>
                <w:sz w:val="18"/>
              </w:rPr>
              <w:t>Élément</w:t>
            </w:r>
          </w:p>
        </w:tc>
        <w:tc>
          <w:tcPr>
            <w:tcW w:w="5294" w:type="dxa"/>
            <w:shd w:val="clear" w:color="auto" w:fill="1F3A5F"/>
          </w:tcPr>
          <w:p>
            <w:pPr>
              <w:pStyle w:val="Compact"/>
              <w:spacing w:before="20" w:after="20"/>
              <w:jc w:val="left"/>
            </w:pPr>
            <w:r>
              <w:rPr>
                <w:b/>
                <w:color w:val="FFFFFF"/>
                <w:sz w:val="18"/>
              </w:rPr>
              <w:t>Diffusion</w:t>
            </w:r>
          </w:p>
        </w:tc>
      </w:tr>
      <w:tr>
        <w:trPr>
          <w:cantSplit w:val="true"/>
        </w:trPr>
        <w:tc>
          <w:tcPr>
            <w:tcW w:w="4117" w:type="dxa"/>
          </w:tcPr>
          <w:p>
            <w:pPr>
              <w:pStyle w:val="Compact"/>
              <w:spacing w:before="20" w:after="20"/>
              <w:jc w:val="left"/>
            </w:pPr>
            <w:r>
              <w:rPr>
                <w:sz w:val="18"/>
              </w:rPr>
              <w:t>Synthèse pour la direction</w:t>
            </w:r>
          </w:p>
        </w:tc>
        <w:tc>
          <w:tcPr>
            <w:tcW w:w="5294" w:type="dxa"/>
          </w:tcPr>
          <w:p>
            <w:pPr>
              <w:pStyle w:val="Compact"/>
              <w:spacing w:before="20" w:after="20"/>
              <w:jc w:val="left"/>
            </w:pPr>
            <w:r>
              <w:rPr>
                <w:sz w:val="18"/>
              </w:rPr>
              <w:t>Direction, commanditaire, responsable de la continuité</w:t>
            </w:r>
          </w:p>
        </w:tc>
      </w:tr>
      <w:tr>
        <w:trPr>
          <w:cantSplit w:val="true"/>
        </w:trPr>
        <w:tc>
          <w:tcPr>
            <w:tcW w:w="4117" w:type="dxa"/>
            <w:shd w:val="clear" w:color="auto" w:fill="EEF2F6"/>
          </w:tcPr>
          <w:p>
            <w:pPr>
              <w:pStyle w:val="Compact"/>
              <w:spacing w:before="20" w:after="20"/>
              <w:jc w:val="left"/>
            </w:pPr>
            <w:r>
              <w:rPr>
                <w:sz w:val="18"/>
              </w:rPr>
              <w:t>Registre des services</w:t>
            </w:r>
          </w:p>
        </w:tc>
        <w:tc>
          <w:tcPr>
            <w:tcW w:w="5294" w:type="dxa"/>
            <w:shd w:val="clear" w:color="auto" w:fill="EEF2F6"/>
          </w:tcPr>
          <w:p>
            <w:pPr>
              <w:pStyle w:val="Compact"/>
              <w:spacing w:before="20" w:after="20"/>
              <w:jc w:val="left"/>
            </w:pPr>
            <w:r>
              <w:rPr>
                <w:sz w:val="18"/>
              </w:rPr>
              <w:t>Propriétaires métier, équipes continuité et sécurité</w:t>
            </w:r>
          </w:p>
        </w:tc>
      </w:tr>
      <w:tr>
        <w:trPr>
          <w:cantSplit w:val="true"/>
        </w:trPr>
        <w:tc>
          <w:tcPr>
            <w:tcW w:w="4117" w:type="dxa"/>
          </w:tcPr>
          <w:p>
            <w:pPr>
              <w:pStyle w:val="Compact"/>
              <w:spacing w:before="20" w:after="20"/>
              <w:jc w:val="left"/>
            </w:pPr>
            <w:r>
              <w:rPr>
                <w:sz w:val="18"/>
              </w:rPr>
              <w:t>Fiches d’activité, registre des ressources, écarts</w:t>
            </w:r>
          </w:p>
        </w:tc>
        <w:tc>
          <w:tcPr>
            <w:tcW w:w="5294" w:type="dxa"/>
          </w:tcPr>
          <w:p>
            <w:pPr>
              <w:pStyle w:val="Compact"/>
              <w:spacing w:before="20" w:after="20"/>
              <w:jc w:val="left"/>
            </w:pPr>
            <w:r>
              <w:rPr>
                <w:sz w:val="18"/>
              </w:rPr>
              <w:t>Diffusion restreinte : équipes continuité, sécurité et DSI</w:t>
            </w:r>
          </w:p>
        </w:tc>
      </w:tr>
    </w:tbl>
    <w:bookmarkEnd w:id="56"/>
    <w:bookmarkStart w:id="57" w:name="revue"/>
    <w:p>
      <w:pPr>
        <w:keepNext/>
        <w:pStyle w:val="Heading2"/>
      </w:pPr>
      <w:r>
        <w:t>8.3 Revue</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888"/>
        <w:gridCol w:w="7523"/>
      </w:tblGrid>
      <w:tr>
        <w:trPr>
          <w:tblHeader w:val="true"/>
          <w:cantSplit w:val="true"/>
          <w:tblHeader w:val="true"/>
        </w:trPr>
        <w:tc>
          <w:tcPr>
            <w:tcW w:w="1888" w:type="dxa"/>
            <w:shd w:val="clear" w:color="auto" w:fill="1F3A5F"/>
          </w:tcPr>
          <w:p>
            <w:pPr>
              <w:pStyle w:val="Compact"/>
              <w:spacing w:before="20" w:after="20"/>
              <w:jc w:val="left"/>
            </w:pPr>
            <w:r>
              <w:rPr>
                <w:b/>
                <w:color w:val="FFFFFF"/>
                <w:sz w:val="18"/>
              </w:rPr>
              <w:t>Revue</w:t>
            </w:r>
          </w:p>
        </w:tc>
        <w:tc>
          <w:tcPr>
            <w:tcW w:w="7523" w:type="dxa"/>
            <w:shd w:val="clear" w:color="auto" w:fill="1F3A5F"/>
          </w:tcPr>
          <w:p>
            <w:pPr>
              <w:pStyle w:val="Compact"/>
              <w:spacing w:before="20" w:after="20"/>
              <w:jc w:val="left"/>
            </w:pPr>
            <w:r>
              <w:rPr>
                <w:b/>
                <w:color w:val="FFFFFF"/>
                <w:sz w:val="18"/>
              </w:rPr>
              <w:t>Déclencheur</w:t>
            </w:r>
          </w:p>
        </w:tc>
      </w:tr>
      <w:tr>
        <w:trPr>
          <w:cantSplit w:val="true"/>
        </w:trPr>
        <w:tc>
          <w:tcPr>
            <w:tcW w:w="1888" w:type="dxa"/>
          </w:tcPr>
          <w:p>
            <w:pPr>
              <w:pStyle w:val="Compact"/>
              <w:spacing w:before="20" w:after="20"/>
              <w:jc w:val="left"/>
            </w:pPr>
            <w:r>
              <w:rPr>
                <w:sz w:val="18"/>
              </w:rPr>
              <w:t>Annuelle</w:t>
            </w:r>
          </w:p>
        </w:tc>
        <w:tc>
          <w:tcPr>
            <w:tcW w:w="7523" w:type="dxa"/>
          </w:tcPr>
          <w:p>
            <w:pPr>
              <w:pStyle w:val="Compact"/>
              <w:spacing w:before="20" w:after="20"/>
              <w:jc w:val="left"/>
            </w:pPr>
            <w:r>
              <w:rPr>
                <w:sz w:val="18"/>
              </w:rPr>
              <w:t>Date anniversaire de la validation :</w:t>
            </w:r>
            <w:r>
              <w:rPr>
                <w:sz w:val="18"/>
              </w:rPr>
              <w:t xml:space="preserve"> </w:t>
            </w:r>
            <w:r>
              <w:rPr>
                <w:rStyle w:val="VerbatimChar"/>
                <w:sz w:val="18"/>
                <w:b/>
                <w:color w:val="8A5A00"/>
              </w:rPr>
              <w:t>{{JJ/MM}}</w:t>
            </w:r>
          </w:p>
        </w:tc>
      </w:tr>
      <w:tr>
        <w:trPr>
          <w:cantSplit w:val="true"/>
        </w:trPr>
        <w:tc>
          <w:tcPr>
            <w:tcW w:w="1888" w:type="dxa"/>
            <w:shd w:val="clear" w:color="auto" w:fill="EEF2F6"/>
          </w:tcPr>
          <w:p>
            <w:pPr>
              <w:pStyle w:val="Compact"/>
              <w:spacing w:before="20" w:after="20"/>
              <w:jc w:val="left"/>
            </w:pPr>
            <w:r>
              <w:rPr>
                <w:sz w:val="18"/>
              </w:rPr>
              <w:t>Exceptionnelle</w:t>
            </w:r>
          </w:p>
        </w:tc>
        <w:tc>
          <w:tcPr>
            <w:tcW w:w="7523" w:type="dxa"/>
            <w:shd w:val="clear" w:color="auto" w:fill="EEF2F6"/>
          </w:tcPr>
          <w:p>
            <w:pPr>
              <w:pStyle w:val="Compact"/>
              <w:spacing w:before="20" w:after="20"/>
              <w:jc w:val="left"/>
            </w:pPr>
            <w:r>
              <w:rPr>
                <w:sz w:val="18"/>
              </w:rPr>
              <w:t>Nouveau service · réorganisation · changement de prestataire important · incident majeur · exercice révélant un écart · évolution réglementaire</w:t>
            </w:r>
          </w:p>
        </w:tc>
      </w:tr>
    </w:tbl>
    <w:bookmarkEnd w:id="57"/>
    <w:bookmarkStart w:id="58" w:name="X87575b3640cce4b7c440fc0eb0b166bbbb7236a"/>
    <w:p>
      <w:pPr>
        <w:keepNext/>
        <w:pStyle w:val="Heading2"/>
      </w:pPr>
      <w:r>
        <w:t>8.4 Raccordement aux documents qui en dépendent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490"/>
        <w:gridCol w:w="6921"/>
      </w:tblGrid>
      <w:tr>
        <w:trPr>
          <w:tblHeader w:val="true"/>
          <w:cantSplit w:val="true"/>
          <w:tblHeader w:val="true"/>
        </w:trPr>
        <w:tc>
          <w:tcPr>
            <w:tcW w:w="2490" w:type="dxa"/>
            <w:shd w:val="clear" w:color="auto" w:fill="1F3A5F"/>
          </w:tcPr>
          <w:p>
            <w:pPr>
              <w:pStyle w:val="Compact"/>
              <w:spacing w:before="20" w:after="20"/>
              <w:jc w:val="left"/>
            </w:pPr>
            <w:r>
              <w:rPr>
                <w:b/>
                <w:color w:val="FFFFFF"/>
                <w:sz w:val="18"/>
              </w:rPr>
              <w:t>Document</w:t>
            </w:r>
          </w:p>
        </w:tc>
        <w:tc>
          <w:tcPr>
            <w:tcW w:w="6921" w:type="dxa"/>
            <w:shd w:val="clear" w:color="auto" w:fill="1F3A5F"/>
          </w:tcPr>
          <w:p>
            <w:pPr>
              <w:pStyle w:val="Compact"/>
              <w:spacing w:before="20" w:after="20"/>
              <w:jc w:val="left"/>
            </w:pPr>
            <w:r>
              <w:rPr>
                <w:b/>
                <w:color w:val="FFFFFF"/>
                <w:sz w:val="18"/>
              </w:rPr>
              <w:t>Ce qu’il reprend du BIA</w:t>
            </w:r>
          </w:p>
        </w:tc>
      </w:tr>
      <w:tr>
        <w:trPr>
          <w:cantSplit w:val="true"/>
        </w:trPr>
        <w:tc>
          <w:tcPr>
            <w:tcW w:w="2490" w:type="dxa"/>
          </w:tcPr>
          <w:p>
            <w:pPr>
              <w:pStyle w:val="Compact"/>
              <w:spacing w:before="20" w:after="20"/>
              <w:jc w:val="left"/>
            </w:pPr>
            <w:r>
              <w:rPr>
                <w:sz w:val="18"/>
              </w:rPr>
              <w:t>Stratégie de continuité</w:t>
            </w:r>
          </w:p>
        </w:tc>
        <w:tc>
          <w:tcPr>
            <w:tcW w:w="6921" w:type="dxa"/>
          </w:tcPr>
          <w:p>
            <w:pPr>
              <w:pStyle w:val="Compact"/>
              <w:spacing w:before="20" w:after="20"/>
              <w:jc w:val="left"/>
            </w:pPr>
            <w:r>
              <w:rPr>
                <w:sz w:val="18"/>
              </w:rPr>
              <w:t>Écarts, points de concentration, arbitrages</w:t>
            </w:r>
          </w:p>
        </w:tc>
      </w:tr>
      <w:tr>
        <w:trPr>
          <w:cantSplit w:val="true"/>
        </w:trPr>
        <w:tc>
          <w:tcPr>
            <w:tcW w:w="2490" w:type="dxa"/>
            <w:shd w:val="clear" w:color="auto" w:fill="EEF2F6"/>
          </w:tcPr>
          <w:p>
            <w:pPr>
              <w:pStyle w:val="Compact"/>
              <w:spacing w:before="20" w:after="20"/>
              <w:jc w:val="left"/>
            </w:pPr>
            <w:r>
              <w:rPr>
                <w:sz w:val="18"/>
              </w:rPr>
              <w:t>Stratégie de sauvegarde</w:t>
            </w:r>
          </w:p>
        </w:tc>
        <w:tc>
          <w:tcPr>
            <w:tcW w:w="6921" w:type="dxa"/>
            <w:shd w:val="clear" w:color="auto" w:fill="EEF2F6"/>
          </w:tcPr>
          <w:p>
            <w:pPr>
              <w:pStyle w:val="Compact"/>
              <w:spacing w:before="20" w:after="20"/>
              <w:jc w:val="left"/>
            </w:pPr>
            <w:r>
              <w:rPr>
                <w:sz w:val="18"/>
              </w:rPr>
              <w:t>PRD, classes de criticité (vagues de restauration), RTO requis des applications</w:t>
            </w:r>
          </w:p>
        </w:tc>
      </w:tr>
      <w:tr>
        <w:trPr>
          <w:cantSplit w:val="true"/>
        </w:trPr>
        <w:tc>
          <w:tcPr>
            <w:tcW w:w="2490" w:type="dxa"/>
          </w:tcPr>
          <w:p>
            <w:pPr>
              <w:pStyle w:val="Compact"/>
              <w:spacing w:before="20" w:after="20"/>
              <w:jc w:val="left"/>
            </w:pPr>
            <w:r>
              <w:rPr>
                <w:sz w:val="18"/>
              </w:rPr>
              <w:t>Plan de continuité d’activité</w:t>
            </w:r>
          </w:p>
        </w:tc>
        <w:tc>
          <w:tcPr>
            <w:tcW w:w="6921" w:type="dxa"/>
          </w:tcPr>
          <w:p>
            <w:pPr>
              <w:pStyle w:val="Compact"/>
              <w:spacing w:before="20" w:after="20"/>
              <w:jc w:val="left"/>
            </w:pPr>
            <w:r>
              <w:rPr>
                <w:sz w:val="18"/>
              </w:rPr>
              <w:t>Ordre de reprise, objectifs de reprise, ressources nécessaires, modes dégradés et retour depuis les mesures temporaires</w:t>
            </w:r>
          </w:p>
        </w:tc>
      </w:tr>
      <w:tr>
        <w:trPr>
          <w:cantSplit w:val="true"/>
        </w:trPr>
        <w:tc>
          <w:tcPr>
            <w:tcW w:w="2490" w:type="dxa"/>
            <w:shd w:val="clear" w:color="auto" w:fill="EEF2F6"/>
          </w:tcPr>
          <w:p>
            <w:pPr>
              <w:pStyle w:val="Compact"/>
              <w:spacing w:before="20" w:after="20"/>
              <w:jc w:val="left"/>
            </w:pPr>
            <w:r>
              <w:rPr>
                <w:sz w:val="18"/>
              </w:rPr>
              <w:t>Plan de continuité informatique</w:t>
            </w:r>
          </w:p>
        </w:tc>
        <w:tc>
          <w:tcPr>
            <w:tcW w:w="6921" w:type="dxa"/>
            <w:shd w:val="clear" w:color="auto" w:fill="EEF2F6"/>
          </w:tcPr>
          <w:p>
            <w:pPr>
              <w:pStyle w:val="Compact"/>
              <w:spacing w:before="20" w:after="20"/>
              <w:jc w:val="left"/>
            </w:pPr>
            <w:r>
              <w:rPr>
                <w:sz w:val="18"/>
              </w:rPr>
              <w:t>RTO et PRD requis des applications et infrastructures</w:t>
            </w:r>
          </w:p>
        </w:tc>
      </w:tr>
      <w:tr>
        <w:trPr>
          <w:cantSplit w:val="true"/>
        </w:trPr>
        <w:tc>
          <w:tcPr>
            <w:tcW w:w="2490" w:type="dxa"/>
          </w:tcPr>
          <w:p>
            <w:pPr>
              <w:pStyle w:val="Compact"/>
              <w:spacing w:before="20" w:after="20"/>
              <w:jc w:val="left"/>
            </w:pPr>
            <w:r>
              <w:rPr>
                <w:sz w:val="18"/>
              </w:rPr>
              <w:t>Dispositif de gestion de crise</w:t>
            </w:r>
          </w:p>
        </w:tc>
        <w:tc>
          <w:tcPr>
            <w:tcW w:w="6921" w:type="dxa"/>
          </w:tcPr>
          <w:p>
            <w:pPr>
              <w:pStyle w:val="Compact"/>
              <w:spacing w:before="20" w:after="20"/>
              <w:jc w:val="left"/>
            </w:pPr>
            <w:r>
              <w:rPr>
                <w:sz w:val="18"/>
              </w:rPr>
              <w:t>Services prioritaires, périodes critiques, points de concentration</w:t>
            </w:r>
          </w:p>
        </w:tc>
      </w:tr>
      <w:tr>
        <w:trPr>
          <w:cantSplit w:val="true"/>
        </w:trPr>
        <w:tc>
          <w:tcPr>
            <w:tcW w:w="2490" w:type="dxa"/>
            <w:shd w:val="clear" w:color="auto" w:fill="EEF2F6"/>
          </w:tcPr>
          <w:p>
            <w:pPr>
              <w:pStyle w:val="Compact"/>
              <w:spacing w:before="20" w:after="20"/>
              <w:jc w:val="left"/>
            </w:pPr>
            <w:r>
              <w:rPr>
                <w:sz w:val="18"/>
              </w:rPr>
              <w:t>Analyse de risques</w:t>
            </w:r>
          </w:p>
        </w:tc>
        <w:tc>
          <w:tcPr>
            <w:tcW w:w="6921" w:type="dxa"/>
            <w:shd w:val="clear" w:color="auto" w:fill="EEF2F6"/>
          </w:tcPr>
          <w:p>
            <w:pPr>
              <w:pStyle w:val="Compact"/>
              <w:spacing w:before="20" w:after="20"/>
              <w:jc w:val="left"/>
            </w:pPr>
            <w:r>
              <w:rPr>
                <w:sz w:val="18"/>
              </w:rPr>
              <w:t>Valeurs métier, échelle de gravité</w:t>
            </w:r>
          </w:p>
        </w:tc>
      </w:tr>
    </w:tbl>
    <w:bookmarkEnd w:id="58"/>
    <w:bookmarkStart w:id="59" w:name="répartition-des-responsabilités"/>
    <w:p>
      <w:pPr>
        <w:pStyle w:val="Heading2"/>
      </w:pPr>
      <w:r>
        <w:t>8.5 Répartition des responsabilités</w:t>
      </w:r>
    </w:p>
    <w:p>
      <w:pPr>
        <w:keepNext/>
        <w:pStyle w:val="FirstParagraph"/>
      </w:pPr>
      <w:r>
        <w:t>R = réalise · A = approuve · C = consulté · I = informé — DIR : direction · CDT : commanditaire · RCA : responsable de la continuité d’activité · MÉT : propriétaires métier · RAC : responsables d’activité · ACH : achats et gestion des tiers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4351"/>
        <w:gridCol w:w="620"/>
        <w:gridCol w:w="620"/>
        <w:gridCol w:w="620"/>
        <w:gridCol w:w="620"/>
        <w:gridCol w:w="620"/>
        <w:gridCol w:w="620"/>
        <w:gridCol w:w="620"/>
        <w:gridCol w:w="720"/>
      </w:tblGrid>
      <w:tr>
        <w:trPr>
          <w:tblHeader w:val="true"/>
          <w:cantSplit w:val="true"/>
          <w:tblHeader w:val="true"/>
        </w:trPr>
        <w:tc>
          <w:tcPr>
            <w:tcW w:w="4351" w:type="dxa"/>
            <w:shd w:val="clear" w:color="auto" w:fill="1F3A5F"/>
          </w:tcPr>
          <w:p>
            <w:pPr>
              <w:pStyle w:val="Compact"/>
              <w:spacing w:before="20" w:after="20"/>
              <w:jc w:val="left"/>
            </w:pPr>
            <w:r>
              <w:rPr>
                <w:b/>
                <w:color w:val="FFFFFF"/>
                <w:sz w:val="16"/>
              </w:rPr>
              <w:t>Activité</w:t>
            </w:r>
          </w:p>
        </w:tc>
        <w:tc>
          <w:tcPr>
            <w:tcW w:w="620" w:type="dxa"/>
            <w:shd w:val="clear" w:color="auto" w:fill="1F3A5F"/>
          </w:tcPr>
          <w:p>
            <w:pPr>
              <w:pStyle w:val="Compact"/>
              <w:spacing w:before="20" w:after="20"/>
              <w:jc w:val="left"/>
            </w:pPr>
            <w:r>
              <w:rPr>
                <w:b/>
                <w:color w:val="FFFFFF"/>
                <w:sz w:val="16"/>
              </w:rPr>
              <w:t>DIR</w:t>
            </w:r>
          </w:p>
        </w:tc>
        <w:tc>
          <w:tcPr>
            <w:tcW w:w="620" w:type="dxa"/>
            <w:shd w:val="clear" w:color="auto" w:fill="1F3A5F"/>
          </w:tcPr>
          <w:p>
            <w:pPr>
              <w:pStyle w:val="Compact"/>
              <w:spacing w:before="20" w:after="20"/>
              <w:jc w:val="left"/>
            </w:pPr>
            <w:r>
              <w:rPr>
                <w:b/>
                <w:color w:val="FFFFFF"/>
                <w:sz w:val="16"/>
              </w:rPr>
              <w:t>CDT</w:t>
            </w:r>
          </w:p>
        </w:tc>
        <w:tc>
          <w:tcPr>
            <w:tcW w:w="620" w:type="dxa"/>
            <w:shd w:val="clear" w:color="auto" w:fill="1F3A5F"/>
          </w:tcPr>
          <w:p>
            <w:pPr>
              <w:pStyle w:val="Compact"/>
              <w:spacing w:before="20" w:after="20"/>
              <w:jc w:val="left"/>
            </w:pPr>
            <w:r>
              <w:rPr>
                <w:b/>
                <w:color w:val="FFFFFF"/>
                <w:sz w:val="16"/>
              </w:rPr>
              <w:t>RCA</w:t>
            </w:r>
          </w:p>
        </w:tc>
        <w:tc>
          <w:tcPr>
            <w:tcW w:w="620" w:type="dxa"/>
            <w:shd w:val="clear" w:color="auto" w:fill="1F3A5F"/>
          </w:tcPr>
          <w:p>
            <w:pPr>
              <w:pStyle w:val="Compact"/>
              <w:spacing w:before="20" w:after="20"/>
              <w:jc w:val="left"/>
            </w:pPr>
            <w:r>
              <w:rPr>
                <w:b/>
                <w:color w:val="FFFFFF"/>
                <w:sz w:val="16"/>
              </w:rPr>
              <w:t>MÉT</w:t>
            </w:r>
          </w:p>
        </w:tc>
        <w:tc>
          <w:tcPr>
            <w:tcW w:w="620" w:type="dxa"/>
            <w:shd w:val="clear" w:color="auto" w:fill="1F3A5F"/>
          </w:tcPr>
          <w:p>
            <w:pPr>
              <w:pStyle w:val="Compact"/>
              <w:spacing w:before="20" w:after="20"/>
              <w:jc w:val="left"/>
            </w:pPr>
            <w:r>
              <w:rPr>
                <w:b/>
                <w:color w:val="FFFFFF"/>
                <w:sz w:val="16"/>
              </w:rPr>
              <w:t>RAC</w:t>
            </w:r>
          </w:p>
        </w:tc>
        <w:tc>
          <w:tcPr>
            <w:tcW w:w="620" w:type="dxa"/>
            <w:shd w:val="clear" w:color="auto" w:fill="1F3A5F"/>
          </w:tcPr>
          <w:p>
            <w:pPr>
              <w:pStyle w:val="Compact"/>
              <w:spacing w:before="20" w:after="20"/>
              <w:jc w:val="left"/>
            </w:pPr>
            <w:r>
              <w:rPr>
                <w:b/>
                <w:color w:val="FFFFFF"/>
                <w:sz w:val="16"/>
              </w:rPr>
              <w:t>DSI</w:t>
            </w:r>
          </w:p>
        </w:tc>
        <w:tc>
          <w:tcPr>
            <w:tcW w:w="620" w:type="dxa"/>
            <w:shd w:val="clear" w:color="auto" w:fill="1F3A5F"/>
          </w:tcPr>
          <w:p>
            <w:pPr>
              <w:pStyle w:val="Compact"/>
              <w:spacing w:before="20" w:after="20"/>
              <w:jc w:val="left"/>
            </w:pPr>
            <w:r>
              <w:rPr>
                <w:b/>
                <w:color w:val="FFFFFF"/>
                <w:sz w:val="16"/>
              </w:rPr>
              <w:t>ACH</w:t>
            </w:r>
          </w:p>
        </w:tc>
        <w:tc>
          <w:tcPr>
            <w:tcW w:w="720" w:type="dxa"/>
            <w:shd w:val="clear" w:color="auto" w:fill="1F3A5F"/>
          </w:tcPr>
          <w:p>
            <w:pPr>
              <w:pStyle w:val="Compact"/>
              <w:spacing w:before="20" w:after="20"/>
              <w:jc w:val="left"/>
            </w:pPr>
            <w:r>
              <w:rPr>
                <w:b/>
                <w:color w:val="FFFFFF"/>
                <w:sz w:val="16"/>
              </w:rPr>
              <w:t>RSSI</w:t>
            </w:r>
          </w:p>
        </w:tc>
      </w:tr>
      <w:tr>
        <w:trPr>
          <w:cantSplit w:val="true"/>
        </w:trPr>
        <w:tc>
          <w:tcPr>
            <w:tcW w:w="4351" w:type="dxa"/>
          </w:tcPr>
          <w:p>
            <w:pPr>
              <w:pStyle w:val="Compact"/>
              <w:spacing w:before="20" w:after="20"/>
              <w:jc w:val="left"/>
            </w:pPr>
            <w:r>
              <w:rPr>
                <w:sz w:val="16"/>
              </w:rPr>
              <w:t>Cadrer et choisir le format</w:t>
            </w:r>
          </w:p>
        </w:tc>
        <w:tc>
          <w:tcPr>
            <w:tcW w:w="620" w:type="dxa"/>
          </w:tcPr>
          <w:p>
            <w:pPr>
              <w:pStyle w:val="Compact"/>
              <w:spacing w:before="20" w:after="20"/>
              <w:jc w:val="left"/>
            </w:pPr>
            <w:r>
              <w:rPr>
                <w:sz w:val="16"/>
              </w:rPr>
              <w:t>I</w:t>
            </w:r>
          </w:p>
        </w:tc>
        <w:tc>
          <w:tcPr>
            <w:tcW w:w="620" w:type="dxa"/>
          </w:tcPr>
          <w:p>
            <w:pPr>
              <w:pStyle w:val="Compact"/>
              <w:spacing w:before="20" w:after="20"/>
              <w:jc w:val="left"/>
            </w:pPr>
            <w:r>
              <w:rPr>
                <w:sz w:val="16"/>
              </w:rPr>
              <w:t>A</w:t>
            </w:r>
          </w:p>
        </w:tc>
        <w:tc>
          <w:tcPr>
            <w:tcW w:w="620" w:type="dxa"/>
          </w:tcPr>
          <w:p>
            <w:pPr>
              <w:pStyle w:val="Compact"/>
              <w:spacing w:before="20" w:after="20"/>
              <w:jc w:val="left"/>
            </w:pPr>
            <w:r>
              <w:rPr>
                <w:sz w:val="16"/>
              </w:rPr>
              <w:t>R</w:t>
            </w:r>
          </w:p>
        </w:tc>
        <w:tc>
          <w:tcPr>
            <w:tcW w:w="620" w:type="dxa"/>
          </w:tcPr>
          <w:p>
            <w:pPr>
              <w:pStyle w:val="Compact"/>
              <w:spacing w:before="20" w:after="20"/>
              <w:jc w:val="left"/>
            </w:pPr>
            <w:r>
              <w:rPr>
                <w:sz w:val="16"/>
              </w:rPr>
              <w:t>C</w:t>
            </w:r>
          </w:p>
        </w:tc>
        <w:tc>
          <w:tcPr>
            <w:tcW w:w="620" w:type="dxa"/>
          </w:tcPr>
          <w:p>
            <w:pPr>
              <w:pStyle w:val="Compact"/>
              <w:spacing w:before="20" w:after="20"/>
            </w:pPr>
          </w:p>
        </w:tc>
        <w:tc>
          <w:tcPr>
            <w:tcW w:w="620" w:type="dxa"/>
          </w:tcPr>
          <w:p>
            <w:pPr>
              <w:pStyle w:val="Compact"/>
              <w:spacing w:before="20" w:after="20"/>
              <w:jc w:val="left"/>
            </w:pPr>
            <w:r>
              <w:rPr>
                <w:sz w:val="16"/>
              </w:rPr>
              <w:t>C</w:t>
            </w:r>
          </w:p>
        </w:tc>
        <w:tc>
          <w:tcPr>
            <w:tcW w:w="620" w:type="dxa"/>
          </w:tcPr>
          <w:p>
            <w:pPr>
              <w:pStyle w:val="Compact"/>
              <w:spacing w:before="20" w:after="20"/>
            </w:pPr>
          </w:p>
        </w:tc>
        <w:tc>
          <w:tcPr>
            <w:tcW w:w="720" w:type="dxa"/>
          </w:tcPr>
          <w:p>
            <w:pPr>
              <w:pStyle w:val="Compact"/>
              <w:spacing w:before="20" w:after="20"/>
              <w:jc w:val="left"/>
            </w:pPr>
            <w:r>
              <w:rPr>
                <w:sz w:val="16"/>
              </w:rPr>
              <w:t>C</w:t>
            </w:r>
          </w:p>
        </w:tc>
      </w:tr>
      <w:tr>
        <w:trPr>
          <w:cantSplit w:val="true"/>
        </w:trPr>
        <w:tc>
          <w:tcPr>
            <w:tcW w:w="4351" w:type="dxa"/>
            <w:shd w:val="clear" w:color="auto" w:fill="EEF2F6"/>
          </w:tcPr>
          <w:p>
            <w:pPr>
              <w:pStyle w:val="Compact"/>
              <w:spacing w:before="20" w:after="20"/>
              <w:jc w:val="left"/>
            </w:pPr>
            <w:r>
              <w:rPr>
                <w:sz w:val="16"/>
              </w:rPr>
              <w:t>Valider la grille d’évaluation</w:t>
            </w:r>
          </w:p>
        </w:tc>
        <w:tc>
          <w:tcPr>
            <w:tcW w:w="620" w:type="dxa"/>
            <w:shd w:val="clear" w:color="auto" w:fill="EEF2F6"/>
          </w:tcPr>
          <w:p>
            <w:pPr>
              <w:pStyle w:val="Compact"/>
              <w:spacing w:before="20" w:after="20"/>
              <w:jc w:val="left"/>
            </w:pPr>
            <w:r>
              <w:rPr>
                <w:sz w:val="16"/>
              </w:rPr>
              <w:t>I</w:t>
            </w:r>
          </w:p>
        </w:tc>
        <w:tc>
          <w:tcPr>
            <w:tcW w:w="620" w:type="dxa"/>
            <w:shd w:val="clear" w:color="auto" w:fill="EEF2F6"/>
          </w:tcPr>
          <w:p>
            <w:pPr>
              <w:pStyle w:val="Compact"/>
              <w:spacing w:before="20" w:after="20"/>
              <w:jc w:val="left"/>
            </w:pPr>
            <w:r>
              <w:rPr>
                <w:sz w:val="16"/>
              </w:rPr>
              <w:t>A</w:t>
            </w:r>
          </w:p>
        </w:tc>
        <w:tc>
          <w:tcPr>
            <w:tcW w:w="620" w:type="dxa"/>
            <w:shd w:val="clear" w:color="auto" w:fill="EEF2F6"/>
          </w:tcPr>
          <w:p>
            <w:pPr>
              <w:pStyle w:val="Compact"/>
              <w:spacing w:before="20" w:after="20"/>
              <w:jc w:val="left"/>
            </w:pPr>
            <w:r>
              <w:rPr>
                <w:sz w:val="16"/>
              </w:rPr>
              <w:t>R</w:t>
            </w:r>
          </w:p>
        </w:tc>
        <w:tc>
          <w:tcPr>
            <w:tcW w:w="620" w:type="dxa"/>
            <w:shd w:val="clear" w:color="auto" w:fill="EEF2F6"/>
          </w:tcPr>
          <w:p>
            <w:pPr>
              <w:pStyle w:val="Compact"/>
              <w:spacing w:before="20" w:after="20"/>
              <w:jc w:val="left"/>
            </w:pPr>
            <w:r>
              <w:rPr>
                <w:sz w:val="16"/>
              </w:rPr>
              <w:t>C</w:t>
            </w: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720" w:type="dxa"/>
            <w:shd w:val="clear" w:color="auto" w:fill="EEF2F6"/>
          </w:tcPr>
          <w:p>
            <w:pPr>
              <w:pStyle w:val="Compact"/>
              <w:spacing w:before="20" w:after="20"/>
              <w:jc w:val="left"/>
            </w:pPr>
            <w:r>
              <w:rPr>
                <w:sz w:val="16"/>
              </w:rPr>
              <w:t>C</w:t>
            </w:r>
          </w:p>
        </w:tc>
      </w:tr>
      <w:tr>
        <w:trPr>
          <w:cantSplit w:val="true"/>
        </w:trPr>
        <w:tc>
          <w:tcPr>
            <w:tcW w:w="4351" w:type="dxa"/>
          </w:tcPr>
          <w:p>
            <w:pPr>
              <w:pStyle w:val="Compact"/>
              <w:spacing w:before="20" w:after="20"/>
              <w:jc w:val="left"/>
            </w:pPr>
            <w:r>
              <w:rPr>
                <w:sz w:val="16"/>
              </w:rPr>
              <w:t>Établir le registre des services</w:t>
            </w:r>
          </w:p>
        </w:tc>
        <w:tc>
          <w:tcPr>
            <w:tcW w:w="620" w:type="dxa"/>
          </w:tcPr>
          <w:p>
            <w:pPr>
              <w:pStyle w:val="Compact"/>
              <w:spacing w:before="20" w:after="20"/>
              <w:jc w:val="left"/>
            </w:pPr>
            <w:r>
              <w:rPr>
                <w:sz w:val="16"/>
              </w:rPr>
              <w:t>C</w:t>
            </w:r>
          </w:p>
        </w:tc>
        <w:tc>
          <w:tcPr>
            <w:tcW w:w="620" w:type="dxa"/>
          </w:tcPr>
          <w:p>
            <w:pPr>
              <w:pStyle w:val="Compact"/>
              <w:spacing w:before="20" w:after="20"/>
              <w:jc w:val="left"/>
            </w:pPr>
            <w:r>
              <w:rPr>
                <w:sz w:val="16"/>
              </w:rPr>
              <w:t>A</w:t>
            </w:r>
          </w:p>
        </w:tc>
        <w:tc>
          <w:tcPr>
            <w:tcW w:w="620" w:type="dxa"/>
          </w:tcPr>
          <w:p>
            <w:pPr>
              <w:pStyle w:val="Compact"/>
              <w:spacing w:before="20" w:after="20"/>
              <w:jc w:val="left"/>
            </w:pPr>
            <w:r>
              <w:rPr>
                <w:sz w:val="16"/>
              </w:rPr>
              <w:t>R</w:t>
            </w:r>
          </w:p>
        </w:tc>
        <w:tc>
          <w:tcPr>
            <w:tcW w:w="620" w:type="dxa"/>
          </w:tcPr>
          <w:p>
            <w:pPr>
              <w:pStyle w:val="Compact"/>
              <w:spacing w:before="20" w:after="20"/>
              <w:jc w:val="left"/>
            </w:pPr>
            <w:r>
              <w:rPr>
                <w:sz w:val="16"/>
              </w:rPr>
              <w:t>R</w:t>
            </w:r>
          </w:p>
        </w:tc>
        <w:tc>
          <w:tcPr>
            <w:tcW w:w="620" w:type="dxa"/>
          </w:tcPr>
          <w:p>
            <w:pPr>
              <w:pStyle w:val="Compact"/>
              <w:spacing w:before="20" w:after="20"/>
            </w:pPr>
          </w:p>
        </w:tc>
        <w:tc>
          <w:tcPr>
            <w:tcW w:w="620" w:type="dxa"/>
          </w:tcPr>
          <w:p>
            <w:pPr>
              <w:pStyle w:val="Compact"/>
              <w:spacing w:before="20" w:after="20"/>
              <w:jc w:val="left"/>
            </w:pPr>
            <w:r>
              <w:rPr>
                <w:sz w:val="16"/>
              </w:rPr>
              <w:t>I</w:t>
            </w:r>
          </w:p>
        </w:tc>
        <w:tc>
          <w:tcPr>
            <w:tcW w:w="620" w:type="dxa"/>
          </w:tcPr>
          <w:p>
            <w:pPr>
              <w:pStyle w:val="Compact"/>
              <w:spacing w:before="20" w:after="20"/>
            </w:pPr>
          </w:p>
        </w:tc>
        <w:tc>
          <w:tcPr>
            <w:tcW w:w="720" w:type="dxa"/>
          </w:tcPr>
          <w:p>
            <w:pPr>
              <w:pStyle w:val="Compact"/>
              <w:spacing w:before="20" w:after="20"/>
              <w:jc w:val="left"/>
            </w:pPr>
            <w:r>
              <w:rPr>
                <w:sz w:val="16"/>
              </w:rPr>
              <w:t>I</w:t>
            </w:r>
          </w:p>
        </w:tc>
      </w:tr>
      <w:tr>
        <w:trPr>
          <w:cantSplit w:val="true"/>
        </w:trPr>
        <w:tc>
          <w:tcPr>
            <w:tcW w:w="4351" w:type="dxa"/>
            <w:shd w:val="clear" w:color="auto" w:fill="EEF2F6"/>
          </w:tcPr>
          <w:p>
            <w:pPr>
              <w:pStyle w:val="Compact"/>
              <w:spacing w:before="20" w:after="20"/>
              <w:jc w:val="left"/>
            </w:pPr>
            <w:r>
              <w:rPr>
                <w:sz w:val="16"/>
              </w:rPr>
              <w:t>Conduire les entretiens</w:t>
            </w: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jc w:val="left"/>
            </w:pPr>
            <w:r>
              <w:rPr>
                <w:sz w:val="16"/>
              </w:rPr>
              <w:t>I</w:t>
            </w:r>
          </w:p>
        </w:tc>
        <w:tc>
          <w:tcPr>
            <w:tcW w:w="620" w:type="dxa"/>
            <w:shd w:val="clear" w:color="auto" w:fill="EEF2F6"/>
          </w:tcPr>
          <w:p>
            <w:pPr>
              <w:pStyle w:val="Compact"/>
              <w:spacing w:before="20" w:after="20"/>
              <w:jc w:val="left"/>
            </w:pPr>
            <w:r>
              <w:rPr>
                <w:sz w:val="16"/>
              </w:rPr>
              <w:t>R</w:t>
            </w:r>
          </w:p>
        </w:tc>
        <w:tc>
          <w:tcPr>
            <w:tcW w:w="620" w:type="dxa"/>
            <w:shd w:val="clear" w:color="auto" w:fill="EEF2F6"/>
          </w:tcPr>
          <w:p>
            <w:pPr>
              <w:pStyle w:val="Compact"/>
              <w:spacing w:before="20" w:after="20"/>
              <w:jc w:val="left"/>
            </w:pPr>
            <w:r>
              <w:rPr>
                <w:sz w:val="16"/>
              </w:rPr>
              <w:t>C</w:t>
            </w:r>
          </w:p>
        </w:tc>
        <w:tc>
          <w:tcPr>
            <w:tcW w:w="620" w:type="dxa"/>
            <w:shd w:val="clear" w:color="auto" w:fill="EEF2F6"/>
          </w:tcPr>
          <w:p>
            <w:pPr>
              <w:pStyle w:val="Compact"/>
              <w:spacing w:before="20" w:after="20"/>
              <w:jc w:val="left"/>
            </w:pPr>
            <w:r>
              <w:rPr>
                <w:sz w:val="16"/>
              </w:rPr>
              <w:t>R</w:t>
            </w: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pPr>
          </w:p>
        </w:tc>
        <w:tc>
          <w:tcPr>
            <w:tcW w:w="720" w:type="dxa"/>
            <w:shd w:val="clear" w:color="auto" w:fill="EEF2F6"/>
          </w:tcPr>
          <w:p>
            <w:pPr>
              <w:pStyle w:val="Compact"/>
              <w:spacing w:before="20" w:after="20"/>
            </w:pPr>
          </w:p>
        </w:tc>
      </w:tr>
      <w:tr>
        <w:trPr>
          <w:cantSplit w:val="true"/>
        </w:trPr>
        <w:tc>
          <w:tcPr>
            <w:tcW w:w="4351" w:type="dxa"/>
          </w:tcPr>
          <w:p>
            <w:pPr>
              <w:pStyle w:val="Compact"/>
              <w:spacing w:before="20" w:after="20"/>
              <w:jc w:val="left"/>
            </w:pPr>
            <w:r>
              <w:rPr>
                <w:sz w:val="16"/>
              </w:rPr>
              <w:t>Recenser ressources et capacités</w:t>
            </w:r>
          </w:p>
        </w:tc>
        <w:tc>
          <w:tcPr>
            <w:tcW w:w="620" w:type="dxa"/>
          </w:tcPr>
          <w:p>
            <w:pPr>
              <w:pStyle w:val="Compact"/>
              <w:spacing w:before="20" w:after="20"/>
            </w:pPr>
          </w:p>
        </w:tc>
        <w:tc>
          <w:tcPr>
            <w:tcW w:w="620" w:type="dxa"/>
          </w:tcPr>
          <w:p>
            <w:pPr>
              <w:pStyle w:val="Compact"/>
              <w:spacing w:before="20" w:after="20"/>
              <w:jc w:val="left"/>
            </w:pPr>
            <w:r>
              <w:rPr>
                <w:sz w:val="16"/>
              </w:rPr>
              <w:t>I</w:t>
            </w:r>
          </w:p>
        </w:tc>
        <w:tc>
          <w:tcPr>
            <w:tcW w:w="620" w:type="dxa"/>
          </w:tcPr>
          <w:p>
            <w:pPr>
              <w:pStyle w:val="Compact"/>
              <w:spacing w:before="20" w:after="20"/>
              <w:jc w:val="left"/>
            </w:pPr>
            <w:r>
              <w:rPr>
                <w:sz w:val="16"/>
              </w:rPr>
              <w:t>R</w:t>
            </w:r>
          </w:p>
        </w:tc>
        <w:tc>
          <w:tcPr>
            <w:tcW w:w="620" w:type="dxa"/>
          </w:tcPr>
          <w:p>
            <w:pPr>
              <w:pStyle w:val="Compact"/>
              <w:spacing w:before="20" w:after="20"/>
              <w:jc w:val="left"/>
            </w:pPr>
            <w:r>
              <w:rPr>
                <w:sz w:val="16"/>
              </w:rPr>
              <w:t>C</w:t>
            </w:r>
          </w:p>
        </w:tc>
        <w:tc>
          <w:tcPr>
            <w:tcW w:w="620" w:type="dxa"/>
          </w:tcPr>
          <w:p>
            <w:pPr>
              <w:pStyle w:val="Compact"/>
              <w:spacing w:before="20" w:after="20"/>
              <w:jc w:val="left"/>
            </w:pPr>
            <w:r>
              <w:rPr>
                <w:sz w:val="16"/>
              </w:rPr>
              <w:t>C</w:t>
            </w:r>
          </w:p>
        </w:tc>
        <w:tc>
          <w:tcPr>
            <w:tcW w:w="620" w:type="dxa"/>
          </w:tcPr>
          <w:p>
            <w:pPr>
              <w:pStyle w:val="Compact"/>
              <w:spacing w:before="20" w:after="20"/>
              <w:jc w:val="left"/>
            </w:pPr>
            <w:r>
              <w:rPr>
                <w:sz w:val="16"/>
              </w:rPr>
              <w:t>R</w:t>
            </w:r>
          </w:p>
        </w:tc>
        <w:tc>
          <w:tcPr>
            <w:tcW w:w="620" w:type="dxa"/>
          </w:tcPr>
          <w:p>
            <w:pPr>
              <w:pStyle w:val="Compact"/>
              <w:spacing w:before="20" w:after="20"/>
              <w:jc w:val="left"/>
            </w:pPr>
            <w:r>
              <w:rPr>
                <w:sz w:val="16"/>
              </w:rPr>
              <w:t>R</w:t>
            </w:r>
          </w:p>
        </w:tc>
        <w:tc>
          <w:tcPr>
            <w:tcW w:w="720" w:type="dxa"/>
          </w:tcPr>
          <w:p>
            <w:pPr>
              <w:pStyle w:val="Compact"/>
              <w:spacing w:before="20" w:after="20"/>
              <w:jc w:val="left"/>
            </w:pPr>
            <w:r>
              <w:rPr>
                <w:sz w:val="16"/>
              </w:rPr>
              <w:t>C</w:t>
            </w:r>
          </w:p>
        </w:tc>
      </w:tr>
      <w:tr>
        <w:trPr>
          <w:cantSplit w:val="true"/>
        </w:trPr>
        <w:tc>
          <w:tcPr>
            <w:tcW w:w="4351" w:type="dxa"/>
            <w:shd w:val="clear" w:color="auto" w:fill="EEF2F6"/>
          </w:tcPr>
          <w:p>
            <w:pPr>
              <w:pStyle w:val="Compact"/>
              <w:spacing w:before="20" w:after="20"/>
              <w:jc w:val="left"/>
            </w:pPr>
            <w:r>
              <w:rPr>
                <w:sz w:val="16"/>
              </w:rPr>
              <w:t>Consolider et mesurer les écarts</w:t>
            </w: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jc w:val="left"/>
            </w:pPr>
            <w:r>
              <w:rPr>
                <w:sz w:val="16"/>
              </w:rPr>
              <w:t>A</w:t>
            </w:r>
          </w:p>
        </w:tc>
        <w:tc>
          <w:tcPr>
            <w:tcW w:w="620" w:type="dxa"/>
            <w:shd w:val="clear" w:color="auto" w:fill="EEF2F6"/>
          </w:tcPr>
          <w:p>
            <w:pPr>
              <w:pStyle w:val="Compact"/>
              <w:spacing w:before="20" w:after="20"/>
              <w:jc w:val="left"/>
            </w:pPr>
            <w:r>
              <w:rPr>
                <w:sz w:val="16"/>
              </w:rPr>
              <w:t>R</w:t>
            </w:r>
          </w:p>
        </w:tc>
        <w:tc>
          <w:tcPr>
            <w:tcW w:w="620" w:type="dxa"/>
            <w:shd w:val="clear" w:color="auto" w:fill="EEF2F6"/>
          </w:tcPr>
          <w:p>
            <w:pPr>
              <w:pStyle w:val="Compact"/>
              <w:spacing w:before="20" w:after="20"/>
              <w:jc w:val="left"/>
            </w:pPr>
            <w:r>
              <w:rPr>
                <w:sz w:val="16"/>
              </w:rPr>
              <w:t>C</w:t>
            </w:r>
          </w:p>
        </w:tc>
        <w:tc>
          <w:tcPr>
            <w:tcW w:w="620" w:type="dxa"/>
            <w:shd w:val="clear" w:color="auto" w:fill="EEF2F6"/>
          </w:tcPr>
          <w:p>
            <w:pPr>
              <w:pStyle w:val="Compact"/>
              <w:spacing w:before="20" w:after="20"/>
            </w:pPr>
          </w:p>
        </w:tc>
        <w:tc>
          <w:tcPr>
            <w:tcW w:w="620" w:type="dxa"/>
            <w:shd w:val="clear" w:color="auto" w:fill="EEF2F6"/>
          </w:tcPr>
          <w:p>
            <w:pPr>
              <w:pStyle w:val="Compact"/>
              <w:spacing w:before="20" w:after="20"/>
              <w:jc w:val="left"/>
            </w:pPr>
            <w:r>
              <w:rPr>
                <w:sz w:val="16"/>
              </w:rPr>
              <w:t>C</w:t>
            </w:r>
          </w:p>
        </w:tc>
        <w:tc>
          <w:tcPr>
            <w:tcW w:w="620" w:type="dxa"/>
            <w:shd w:val="clear" w:color="auto" w:fill="EEF2F6"/>
          </w:tcPr>
          <w:p>
            <w:pPr>
              <w:pStyle w:val="Compact"/>
              <w:spacing w:before="20" w:after="20"/>
              <w:jc w:val="left"/>
            </w:pPr>
            <w:r>
              <w:rPr>
                <w:sz w:val="16"/>
              </w:rPr>
              <w:t>C</w:t>
            </w:r>
          </w:p>
        </w:tc>
        <w:tc>
          <w:tcPr>
            <w:tcW w:w="720" w:type="dxa"/>
            <w:shd w:val="clear" w:color="auto" w:fill="EEF2F6"/>
          </w:tcPr>
          <w:p>
            <w:pPr>
              <w:pStyle w:val="Compact"/>
              <w:spacing w:before="20" w:after="20"/>
              <w:jc w:val="left"/>
            </w:pPr>
            <w:r>
              <w:rPr>
                <w:sz w:val="16"/>
              </w:rPr>
              <w:t>C</w:t>
            </w:r>
          </w:p>
        </w:tc>
      </w:tr>
      <w:tr>
        <w:trPr>
          <w:cantSplit w:val="true"/>
        </w:trPr>
        <w:tc>
          <w:tcPr>
            <w:tcW w:w="4351" w:type="dxa"/>
          </w:tcPr>
          <w:p>
            <w:pPr>
              <w:pStyle w:val="Compact"/>
              <w:spacing w:before="20" w:after="20"/>
              <w:jc w:val="left"/>
            </w:pPr>
            <w:r>
              <w:rPr>
                <w:sz w:val="16"/>
              </w:rPr>
              <w:t>Valider priorités, seuils, écarts</w:t>
            </w:r>
          </w:p>
        </w:tc>
        <w:tc>
          <w:tcPr>
            <w:tcW w:w="620" w:type="dxa"/>
          </w:tcPr>
          <w:p>
            <w:pPr>
              <w:pStyle w:val="Compact"/>
              <w:spacing w:before="20" w:after="20"/>
              <w:jc w:val="left"/>
            </w:pPr>
            <w:r>
              <w:rPr>
                <w:sz w:val="16"/>
              </w:rPr>
              <w:t>A</w:t>
            </w:r>
          </w:p>
        </w:tc>
        <w:tc>
          <w:tcPr>
            <w:tcW w:w="620" w:type="dxa"/>
          </w:tcPr>
          <w:p>
            <w:pPr>
              <w:pStyle w:val="Compact"/>
              <w:spacing w:before="20" w:after="20"/>
              <w:jc w:val="left"/>
            </w:pPr>
            <w:r>
              <w:rPr>
                <w:sz w:val="16"/>
              </w:rPr>
              <w:t>R</w:t>
            </w:r>
          </w:p>
        </w:tc>
        <w:tc>
          <w:tcPr>
            <w:tcW w:w="620" w:type="dxa"/>
          </w:tcPr>
          <w:p>
            <w:pPr>
              <w:pStyle w:val="Compact"/>
              <w:spacing w:before="20" w:after="20"/>
              <w:jc w:val="left"/>
            </w:pPr>
            <w:r>
              <w:rPr>
                <w:sz w:val="16"/>
              </w:rPr>
              <w:t>C</w:t>
            </w:r>
          </w:p>
        </w:tc>
        <w:tc>
          <w:tcPr>
            <w:tcW w:w="620" w:type="dxa"/>
          </w:tcPr>
          <w:p>
            <w:pPr>
              <w:pStyle w:val="Compact"/>
              <w:spacing w:before="20" w:after="20"/>
              <w:jc w:val="left"/>
            </w:pPr>
            <w:r>
              <w:rPr>
                <w:sz w:val="16"/>
              </w:rPr>
              <w:t>C</w:t>
            </w:r>
          </w:p>
        </w:tc>
        <w:tc>
          <w:tcPr>
            <w:tcW w:w="620" w:type="dxa"/>
          </w:tcPr>
          <w:p>
            <w:pPr>
              <w:pStyle w:val="Compact"/>
              <w:spacing w:before="20" w:after="20"/>
              <w:jc w:val="left"/>
            </w:pPr>
            <w:r>
              <w:rPr>
                <w:sz w:val="16"/>
              </w:rPr>
              <w:t>I</w:t>
            </w:r>
          </w:p>
        </w:tc>
        <w:tc>
          <w:tcPr>
            <w:tcW w:w="620" w:type="dxa"/>
          </w:tcPr>
          <w:p>
            <w:pPr>
              <w:pStyle w:val="Compact"/>
              <w:spacing w:before="20" w:after="20"/>
              <w:jc w:val="left"/>
            </w:pPr>
            <w:r>
              <w:rPr>
                <w:sz w:val="16"/>
              </w:rPr>
              <w:t>I</w:t>
            </w:r>
          </w:p>
        </w:tc>
        <w:tc>
          <w:tcPr>
            <w:tcW w:w="620" w:type="dxa"/>
          </w:tcPr>
          <w:p>
            <w:pPr>
              <w:pStyle w:val="Compact"/>
              <w:spacing w:before="20" w:after="20"/>
              <w:jc w:val="left"/>
            </w:pPr>
            <w:r>
              <w:rPr>
                <w:sz w:val="16"/>
              </w:rPr>
              <w:t>I</w:t>
            </w:r>
          </w:p>
        </w:tc>
        <w:tc>
          <w:tcPr>
            <w:tcW w:w="720" w:type="dxa"/>
          </w:tcPr>
          <w:p>
            <w:pPr>
              <w:pStyle w:val="Compact"/>
              <w:spacing w:before="20" w:after="20"/>
              <w:jc w:val="left"/>
            </w:pPr>
            <w:r>
              <w:rPr>
                <w:sz w:val="16"/>
              </w:rPr>
              <w:t>I</w:t>
            </w:r>
          </w:p>
        </w:tc>
      </w:tr>
      <w:tr>
        <w:trPr>
          <w:cantSplit w:val="true"/>
        </w:trPr>
        <w:tc>
          <w:tcPr>
            <w:tcW w:w="4351" w:type="dxa"/>
            <w:shd w:val="clear" w:color="auto" w:fill="EEF2F6"/>
          </w:tcPr>
          <w:p>
            <w:pPr>
              <w:pStyle w:val="Compact"/>
              <w:spacing w:before="20" w:after="20"/>
              <w:jc w:val="left"/>
            </w:pPr>
            <w:r>
              <w:rPr>
                <w:sz w:val="16"/>
              </w:rPr>
              <w:t>Revoir annuellement</w:t>
            </w:r>
          </w:p>
        </w:tc>
        <w:tc>
          <w:tcPr>
            <w:tcW w:w="620" w:type="dxa"/>
            <w:shd w:val="clear" w:color="auto" w:fill="EEF2F6"/>
          </w:tcPr>
          <w:p>
            <w:pPr>
              <w:pStyle w:val="Compact"/>
              <w:spacing w:before="20" w:after="20"/>
              <w:jc w:val="left"/>
            </w:pPr>
            <w:r>
              <w:rPr>
                <w:sz w:val="16"/>
              </w:rPr>
              <w:t>I</w:t>
            </w:r>
          </w:p>
        </w:tc>
        <w:tc>
          <w:tcPr>
            <w:tcW w:w="620" w:type="dxa"/>
            <w:shd w:val="clear" w:color="auto" w:fill="EEF2F6"/>
          </w:tcPr>
          <w:p>
            <w:pPr>
              <w:pStyle w:val="Compact"/>
              <w:spacing w:before="20" w:after="20"/>
              <w:jc w:val="left"/>
            </w:pPr>
            <w:r>
              <w:rPr>
                <w:sz w:val="16"/>
              </w:rPr>
              <w:t>A</w:t>
            </w:r>
          </w:p>
        </w:tc>
        <w:tc>
          <w:tcPr>
            <w:tcW w:w="620" w:type="dxa"/>
            <w:shd w:val="clear" w:color="auto" w:fill="EEF2F6"/>
          </w:tcPr>
          <w:p>
            <w:pPr>
              <w:pStyle w:val="Compact"/>
              <w:spacing w:before="20" w:after="20"/>
              <w:jc w:val="left"/>
            </w:pPr>
            <w:r>
              <w:rPr>
                <w:sz w:val="16"/>
              </w:rPr>
              <w:t>R</w:t>
            </w:r>
          </w:p>
        </w:tc>
        <w:tc>
          <w:tcPr>
            <w:tcW w:w="620" w:type="dxa"/>
            <w:shd w:val="clear" w:color="auto" w:fill="EEF2F6"/>
          </w:tcPr>
          <w:p>
            <w:pPr>
              <w:pStyle w:val="Compact"/>
              <w:spacing w:before="20" w:after="20"/>
              <w:jc w:val="left"/>
            </w:pPr>
            <w:r>
              <w:rPr>
                <w:sz w:val="16"/>
              </w:rPr>
              <w:t>C</w:t>
            </w:r>
          </w:p>
        </w:tc>
        <w:tc>
          <w:tcPr>
            <w:tcW w:w="620" w:type="dxa"/>
            <w:shd w:val="clear" w:color="auto" w:fill="EEF2F6"/>
          </w:tcPr>
          <w:p>
            <w:pPr>
              <w:pStyle w:val="Compact"/>
              <w:spacing w:before="20" w:after="20"/>
              <w:jc w:val="left"/>
            </w:pPr>
            <w:r>
              <w:rPr>
                <w:sz w:val="16"/>
              </w:rPr>
              <w:t>C</w:t>
            </w:r>
          </w:p>
        </w:tc>
        <w:tc>
          <w:tcPr>
            <w:tcW w:w="620" w:type="dxa"/>
            <w:shd w:val="clear" w:color="auto" w:fill="EEF2F6"/>
          </w:tcPr>
          <w:p>
            <w:pPr>
              <w:pStyle w:val="Compact"/>
              <w:spacing w:before="20" w:after="20"/>
              <w:jc w:val="left"/>
            </w:pPr>
            <w:r>
              <w:rPr>
                <w:sz w:val="16"/>
              </w:rPr>
              <w:t>C</w:t>
            </w:r>
          </w:p>
        </w:tc>
        <w:tc>
          <w:tcPr>
            <w:tcW w:w="620" w:type="dxa"/>
            <w:shd w:val="clear" w:color="auto" w:fill="EEF2F6"/>
          </w:tcPr>
          <w:p>
            <w:pPr>
              <w:pStyle w:val="Compact"/>
              <w:spacing w:before="20" w:after="20"/>
              <w:jc w:val="left"/>
            </w:pPr>
            <w:r>
              <w:rPr>
                <w:sz w:val="16"/>
              </w:rPr>
              <w:t>C</w:t>
            </w:r>
          </w:p>
        </w:tc>
        <w:tc>
          <w:tcPr>
            <w:tcW w:w="720" w:type="dxa"/>
            <w:shd w:val="clear" w:color="auto" w:fill="EEF2F6"/>
          </w:tcPr>
          <w:p>
            <w:pPr>
              <w:pStyle w:val="Compact"/>
              <w:spacing w:before="20" w:after="20"/>
              <w:jc w:val="left"/>
            </w:pPr>
            <w:r>
              <w:rPr>
                <w:sz w:val="16"/>
              </w:rPr>
              <w:t>C</w:t>
            </w:r>
          </w:p>
        </w:tc>
      </w:tr>
    </w:tbl>
    <w:p>
      <w:pPr>
        <w:pStyle w:val="BodyText"/>
      </w:pPr>
      <w:r>
        <w:rPr>
          <w:bCs/>
          <w:b/>
        </w:rPr>
        <w:t>[À VALIDER]</w:t>
      </w:r>
    </w:p>
    <w:p>
      <w:r>
        <w:pict>
          <v:rect style="width:0;height:1.5pt" o:hralign="center" o:hrstd="t" o:hr="t"/>
        </w:pict>
      </w:r>
    </w:p>
    <w:bookmarkEnd w:id="59"/>
    <w:bookmarkEnd w:id="60"/>
    <w:bookmarkStart w:id="71" w:name="annexes"/>
    <w:p>
      <w:pPr>
        <w:pStyle w:val="Heading1"/>
      </w:pPr>
      <w:r>
        <w:t>9. Annexes</w:t>
      </w:r>
    </w:p>
    <w:bookmarkStart w:id="61" w:name="annexe-a-guide-dentretien"/>
    <w:p>
      <w:pPr>
        <w:pStyle w:val="Heading2"/>
      </w:pPr>
      <w:r>
        <w:t>Annexe A — Guide d’entretien</w:t>
      </w:r>
    </w:p>
    <w:p>
      <w:pPr>
        <w:pStyle w:val="FirstParagraph"/>
      </w:pPr>
      <w:r>
        <w:rPr>
          <w:bCs/>
          <w:b/>
        </w:rPr>
        <w:t>Préparation (par l’équipe d’analyse)</w:t>
      </w:r>
    </w:p>
    <w:p>
      <w:pPr>
        <w:numPr>
          <w:ilvl w:val="0"/>
          <w:numId w:val="1004"/>
        </w:numPr>
        <w:pStyle w:val="Compact"/>
      </w:pPr>
      <w:r>
        <w:t>Préremplir la fiche à partir de l’existant : activités connues, applications utilisées, prestataires.</w:t>
      </w:r>
    </w:p>
    <w:p>
      <w:pPr>
        <w:numPr>
          <w:ilvl w:val="0"/>
          <w:numId w:val="1004"/>
        </w:numPr>
        <w:pStyle w:val="Compact"/>
      </w:pPr>
      <w:r>
        <w:t>Envoyer au responsable, trois jours avant, la fiche préremplie, les hypothèses de travail (§3.1) et la grille (§3.2).</w:t>
      </w:r>
    </w:p>
    <w:p>
      <w:pPr>
        <w:numPr>
          <w:ilvl w:val="0"/>
          <w:numId w:val="1004"/>
        </w:numPr>
        <w:pStyle w:val="Compact"/>
      </w:pPr>
      <w:r>
        <w:t>Prévoir soixante à quatre-vingt-dix minutes ; un animateur et, si possible, un preneur de notes.</w:t>
      </w:r>
    </w:p>
    <w:p>
      <w:pPr>
        <w:keepNext/>
        <w:pStyle w:val="FirstParagraph"/>
      </w:pPr>
      <w:r>
        <w:rPr>
          <w:bCs/>
          <w:b/>
        </w:rPr>
        <w:t>Déroulé proposé</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880"/>
        <w:gridCol w:w="1552"/>
        <w:gridCol w:w="6979"/>
      </w:tblGrid>
      <w:tr>
        <w:trPr>
          <w:tblHeader w:val="true"/>
          <w:cantSplit w:val="true"/>
          <w:tblHeader w:val="true"/>
        </w:trPr>
        <w:tc>
          <w:tcPr>
            <w:tcW w:w="880" w:type="dxa"/>
            <w:shd w:val="clear" w:color="auto" w:fill="1F3A5F"/>
          </w:tcPr>
          <w:p>
            <w:pPr>
              <w:pStyle w:val="Compact"/>
              <w:spacing w:before="20" w:after="20"/>
              <w:jc w:val="left"/>
            </w:pPr>
            <w:r>
              <w:rPr>
                <w:b/>
                <w:color w:val="FFFFFF"/>
                <w:sz w:val="18"/>
              </w:rPr>
              <w:t>Temps</w:t>
            </w:r>
          </w:p>
        </w:tc>
        <w:tc>
          <w:tcPr>
            <w:tcW w:w="1552" w:type="dxa"/>
            <w:shd w:val="clear" w:color="auto" w:fill="1F3A5F"/>
          </w:tcPr>
          <w:p>
            <w:pPr>
              <w:pStyle w:val="Compact"/>
              <w:spacing w:before="20" w:after="20"/>
              <w:jc w:val="left"/>
            </w:pPr>
            <w:r>
              <w:rPr>
                <w:b/>
                <w:color w:val="FFFFFF"/>
                <w:sz w:val="18"/>
              </w:rPr>
              <w:t>Séquence</w:t>
            </w:r>
          </w:p>
        </w:tc>
        <w:tc>
          <w:tcPr>
            <w:tcW w:w="6979" w:type="dxa"/>
            <w:shd w:val="clear" w:color="auto" w:fill="1F3A5F"/>
          </w:tcPr>
          <w:p>
            <w:pPr>
              <w:pStyle w:val="Compact"/>
              <w:spacing w:before="20" w:after="20"/>
              <w:jc w:val="left"/>
            </w:pPr>
            <w:r>
              <w:rPr>
                <w:b/>
                <w:color w:val="FFFFFF"/>
                <w:sz w:val="18"/>
              </w:rPr>
              <w:t>Questions types</w:t>
            </w:r>
          </w:p>
        </w:tc>
      </w:tr>
      <w:tr>
        <w:trPr>
          <w:cantSplit w:val="true"/>
        </w:trPr>
        <w:tc>
          <w:tcPr>
            <w:tcW w:w="880" w:type="dxa"/>
          </w:tcPr>
          <w:p>
            <w:pPr>
              <w:pStyle w:val="Compact"/>
              <w:spacing w:before="20" w:after="20"/>
              <w:jc w:val="left"/>
            </w:pPr>
            <w:r>
              <w:rPr>
                <w:sz w:val="18"/>
              </w:rPr>
              <w:t>5 min</w:t>
            </w:r>
          </w:p>
        </w:tc>
        <w:tc>
          <w:tcPr>
            <w:tcW w:w="1552" w:type="dxa"/>
          </w:tcPr>
          <w:p>
            <w:pPr>
              <w:pStyle w:val="Compact"/>
              <w:spacing w:before="20" w:after="20"/>
              <w:jc w:val="left"/>
            </w:pPr>
            <w:r>
              <w:rPr>
                <w:sz w:val="18"/>
              </w:rPr>
              <w:t>Cadre</w:t>
            </w:r>
          </w:p>
        </w:tc>
        <w:tc>
          <w:tcPr>
            <w:tcW w:w="6979" w:type="dxa"/>
          </w:tcPr>
          <w:p>
            <w:pPr>
              <w:pStyle w:val="Compact"/>
              <w:spacing w:before="20" w:after="20"/>
              <w:jc w:val="left"/>
            </w:pPr>
            <w:r>
              <w:rPr>
                <w:sz w:val="18"/>
              </w:rPr>
              <w:t>Rappel de l’objet, des hypothèses H1 à H3, de la confidentialité des réponses</w:t>
            </w:r>
          </w:p>
        </w:tc>
      </w:tr>
      <w:tr>
        <w:trPr>
          <w:cantSplit w:val="true"/>
        </w:trPr>
        <w:tc>
          <w:tcPr>
            <w:tcW w:w="880" w:type="dxa"/>
            <w:shd w:val="clear" w:color="auto" w:fill="EEF2F6"/>
          </w:tcPr>
          <w:p>
            <w:pPr>
              <w:pStyle w:val="Compact"/>
              <w:spacing w:before="20" w:after="20"/>
              <w:jc w:val="left"/>
            </w:pPr>
            <w:r>
              <w:rPr>
                <w:sz w:val="18"/>
              </w:rPr>
              <w:t>10 min</w:t>
            </w:r>
          </w:p>
        </w:tc>
        <w:tc>
          <w:tcPr>
            <w:tcW w:w="1552" w:type="dxa"/>
            <w:shd w:val="clear" w:color="auto" w:fill="EEF2F6"/>
          </w:tcPr>
          <w:p>
            <w:pPr>
              <w:pStyle w:val="Compact"/>
              <w:spacing w:before="20" w:after="20"/>
              <w:jc w:val="left"/>
            </w:pPr>
            <w:r>
              <w:rPr>
                <w:sz w:val="18"/>
              </w:rPr>
              <w:t>Activités</w:t>
            </w:r>
          </w:p>
        </w:tc>
        <w:tc>
          <w:tcPr>
            <w:tcW w:w="6979" w:type="dxa"/>
            <w:shd w:val="clear" w:color="auto" w:fill="EEF2F6"/>
          </w:tcPr>
          <w:p>
            <w:pPr>
              <w:pStyle w:val="Compact"/>
              <w:spacing w:before="20" w:after="20"/>
              <w:jc w:val="left"/>
            </w:pPr>
            <w:r>
              <w:rPr>
                <w:sz w:val="18"/>
              </w:rPr>
              <w:t>« Quelles sont vos activités ? Lesquelles servent le service S</w:t>
            </w:r>
            <w:r>
              <w:rPr>
                <w:rStyle w:val="VerbatimChar"/>
                <w:sz w:val="18"/>
                <w:b/>
                <w:color w:val="8A5A00"/>
              </w:rPr>
              <w:t>{{n}}</w:t>
            </w:r>
            <w:r>
              <w:rPr>
                <w:sz w:val="18"/>
              </w:rPr>
              <w:t xml:space="preserve"> </w:t>
            </w:r>
            <w:r>
              <w:rPr>
                <w:sz w:val="18"/>
              </w:rPr>
              <w:t>? »</w:t>
            </w:r>
          </w:p>
        </w:tc>
      </w:tr>
      <w:tr>
        <w:trPr>
          <w:cantSplit w:val="true"/>
        </w:trPr>
        <w:tc>
          <w:tcPr>
            <w:tcW w:w="880" w:type="dxa"/>
          </w:tcPr>
          <w:p>
            <w:pPr>
              <w:pStyle w:val="Compact"/>
              <w:spacing w:before="20" w:after="20"/>
              <w:jc w:val="left"/>
            </w:pPr>
            <w:r>
              <w:rPr>
                <w:sz w:val="18"/>
              </w:rPr>
              <w:t>25 min</w:t>
            </w:r>
          </w:p>
        </w:tc>
        <w:tc>
          <w:tcPr>
            <w:tcW w:w="1552" w:type="dxa"/>
          </w:tcPr>
          <w:p>
            <w:pPr>
              <w:pStyle w:val="Compact"/>
              <w:spacing w:before="20" w:after="20"/>
              <w:jc w:val="left"/>
            </w:pPr>
            <w:r>
              <w:rPr>
                <w:sz w:val="18"/>
              </w:rPr>
              <w:t>Courbe d’impact</w:t>
            </w:r>
          </w:p>
        </w:tc>
        <w:tc>
          <w:tcPr>
            <w:tcW w:w="6979" w:type="dxa"/>
          </w:tcPr>
          <w:p>
            <w:pPr>
              <w:pStyle w:val="Compact"/>
              <w:spacing w:before="20" w:after="20"/>
              <w:jc w:val="left"/>
            </w:pPr>
            <w:r>
              <w:rPr>
                <w:sz w:val="18"/>
              </w:rPr>
              <w:t>« Si l’activité s’arrête au pire moment, que se passe-t-il au bout de 4 h ? d’un jour ? de trois jours ? » — s’arrêter au premier « Grave » ; « À quel moment exact, entre ces deux horizons, cela bascule-t-il ? »</w:t>
            </w:r>
          </w:p>
        </w:tc>
      </w:tr>
      <w:tr>
        <w:trPr>
          <w:cantSplit w:val="true"/>
        </w:trPr>
        <w:tc>
          <w:tcPr>
            <w:tcW w:w="880" w:type="dxa"/>
            <w:shd w:val="clear" w:color="auto" w:fill="EEF2F6"/>
          </w:tcPr>
          <w:p>
            <w:pPr>
              <w:pStyle w:val="Compact"/>
              <w:spacing w:before="20" w:after="20"/>
              <w:jc w:val="left"/>
            </w:pPr>
            <w:r>
              <w:rPr>
                <w:sz w:val="18"/>
              </w:rPr>
              <w:t>10 min</w:t>
            </w:r>
          </w:p>
        </w:tc>
        <w:tc>
          <w:tcPr>
            <w:tcW w:w="1552" w:type="dxa"/>
            <w:shd w:val="clear" w:color="auto" w:fill="EEF2F6"/>
          </w:tcPr>
          <w:p>
            <w:pPr>
              <w:pStyle w:val="Compact"/>
              <w:spacing w:before="20" w:after="20"/>
              <w:jc w:val="left"/>
            </w:pPr>
            <w:r>
              <w:rPr>
                <w:sz w:val="18"/>
              </w:rPr>
              <w:t>Seuils</w:t>
            </w:r>
          </w:p>
        </w:tc>
        <w:tc>
          <w:tcPr>
            <w:tcW w:w="6979" w:type="dxa"/>
            <w:shd w:val="clear" w:color="auto" w:fill="EEF2F6"/>
          </w:tcPr>
          <w:p>
            <w:pPr>
              <w:pStyle w:val="Compact"/>
              <w:spacing w:before="20" w:after="20"/>
              <w:jc w:val="left"/>
            </w:pPr>
            <w:r>
              <w:rPr>
                <w:sz w:val="18"/>
              </w:rPr>
              <w:t>« Quand faut-il avoir repris, au minimum ? Combien de temps pour rattraper le retard ? Combien de travail pouvez-vous perdre ? Pouvez-vous le reconstituer ? »</w:t>
            </w:r>
          </w:p>
        </w:tc>
      </w:tr>
      <w:tr>
        <w:trPr>
          <w:cantSplit w:val="true"/>
        </w:trPr>
        <w:tc>
          <w:tcPr>
            <w:tcW w:w="880" w:type="dxa"/>
          </w:tcPr>
          <w:p>
            <w:pPr>
              <w:pStyle w:val="Compact"/>
              <w:spacing w:before="20" w:after="20"/>
              <w:jc w:val="left"/>
            </w:pPr>
            <w:r>
              <w:rPr>
                <w:sz w:val="18"/>
              </w:rPr>
              <w:t>10 min</w:t>
            </w:r>
          </w:p>
        </w:tc>
        <w:tc>
          <w:tcPr>
            <w:tcW w:w="1552" w:type="dxa"/>
          </w:tcPr>
          <w:p>
            <w:pPr>
              <w:pStyle w:val="Compact"/>
              <w:spacing w:before="20" w:after="20"/>
              <w:jc w:val="left"/>
            </w:pPr>
            <w:r>
              <w:rPr>
                <w:sz w:val="18"/>
              </w:rPr>
              <w:t>Mode dégradé</w:t>
            </w:r>
          </w:p>
        </w:tc>
        <w:tc>
          <w:tcPr>
            <w:tcW w:w="6979" w:type="dxa"/>
          </w:tcPr>
          <w:p>
            <w:pPr>
              <w:pStyle w:val="Compact"/>
              <w:spacing w:before="20" w:after="20"/>
              <w:jc w:val="left"/>
            </w:pPr>
            <w:r>
              <w:rPr>
                <w:sz w:val="18"/>
              </w:rPr>
              <w:t>« Comment travailleriez-vous sans vos outils ? Combien de temps cela tiendrait-il ? L’avez-vous déjà fait ? »</w:t>
            </w:r>
          </w:p>
        </w:tc>
      </w:tr>
      <w:tr>
        <w:trPr>
          <w:cantSplit w:val="true"/>
        </w:trPr>
        <w:tc>
          <w:tcPr>
            <w:tcW w:w="880" w:type="dxa"/>
            <w:shd w:val="clear" w:color="auto" w:fill="EEF2F6"/>
          </w:tcPr>
          <w:p>
            <w:pPr>
              <w:pStyle w:val="Compact"/>
              <w:spacing w:before="20" w:after="20"/>
              <w:jc w:val="left"/>
            </w:pPr>
            <w:r>
              <w:rPr>
                <w:sz w:val="18"/>
              </w:rPr>
              <w:t>10 min</w:t>
            </w:r>
          </w:p>
        </w:tc>
        <w:tc>
          <w:tcPr>
            <w:tcW w:w="1552" w:type="dxa"/>
            <w:shd w:val="clear" w:color="auto" w:fill="EEF2F6"/>
          </w:tcPr>
          <w:p>
            <w:pPr>
              <w:pStyle w:val="Compact"/>
              <w:spacing w:before="20" w:after="20"/>
              <w:jc w:val="left"/>
            </w:pPr>
            <w:r>
              <w:rPr>
                <w:sz w:val="18"/>
              </w:rPr>
              <w:t>Dépendances</w:t>
            </w:r>
          </w:p>
        </w:tc>
        <w:tc>
          <w:tcPr>
            <w:tcW w:w="6979" w:type="dxa"/>
            <w:shd w:val="clear" w:color="auto" w:fill="EEF2F6"/>
          </w:tcPr>
          <w:p>
            <w:pPr>
              <w:pStyle w:val="Compact"/>
              <w:spacing w:before="20" w:after="20"/>
              <w:jc w:val="left"/>
            </w:pPr>
            <w:r>
              <w:rPr>
                <w:sz w:val="18"/>
              </w:rPr>
              <w:t>« De qui et de quoi dépendez-vous ? Qui dépend de vous ? Qui, dans l’équipe, est seul à savoir faire quelque chose ? » (rôles, pas de noms)</w:t>
            </w:r>
          </w:p>
        </w:tc>
      </w:tr>
      <w:tr>
        <w:trPr>
          <w:cantSplit w:val="true"/>
        </w:trPr>
        <w:tc>
          <w:tcPr>
            <w:tcW w:w="880" w:type="dxa"/>
          </w:tcPr>
          <w:p>
            <w:pPr>
              <w:pStyle w:val="Compact"/>
              <w:spacing w:before="20" w:after="20"/>
              <w:jc w:val="left"/>
            </w:pPr>
            <w:r>
              <w:rPr>
                <w:sz w:val="18"/>
              </w:rPr>
              <w:t>5 min</w:t>
            </w:r>
          </w:p>
        </w:tc>
        <w:tc>
          <w:tcPr>
            <w:tcW w:w="1552" w:type="dxa"/>
          </w:tcPr>
          <w:p>
            <w:pPr>
              <w:pStyle w:val="Compact"/>
              <w:spacing w:before="20" w:after="20"/>
              <w:jc w:val="left"/>
            </w:pPr>
            <w:r>
              <w:rPr>
                <w:sz w:val="18"/>
              </w:rPr>
              <w:t>Intégrité</w:t>
            </w:r>
          </w:p>
        </w:tc>
        <w:tc>
          <w:tcPr>
            <w:tcW w:w="6979" w:type="dxa"/>
          </w:tcPr>
          <w:p>
            <w:pPr>
              <w:pStyle w:val="Compact"/>
              <w:spacing w:before="20" w:after="20"/>
              <w:jc w:val="left"/>
            </w:pPr>
            <w:r>
              <w:rPr>
                <w:sz w:val="18"/>
              </w:rPr>
              <w:t>Question du §3.5</w:t>
            </w:r>
          </w:p>
        </w:tc>
      </w:tr>
      <w:tr>
        <w:trPr>
          <w:cantSplit w:val="true"/>
        </w:trPr>
        <w:tc>
          <w:tcPr>
            <w:tcW w:w="880" w:type="dxa"/>
            <w:shd w:val="clear" w:color="auto" w:fill="EEF2F6"/>
          </w:tcPr>
          <w:p>
            <w:pPr>
              <w:pStyle w:val="Compact"/>
              <w:spacing w:before="20" w:after="20"/>
              <w:jc w:val="left"/>
            </w:pPr>
            <w:r>
              <w:rPr>
                <w:sz w:val="18"/>
              </w:rPr>
              <w:t>5 min</w:t>
            </w:r>
          </w:p>
        </w:tc>
        <w:tc>
          <w:tcPr>
            <w:tcW w:w="1552" w:type="dxa"/>
            <w:shd w:val="clear" w:color="auto" w:fill="EEF2F6"/>
          </w:tcPr>
          <w:p>
            <w:pPr>
              <w:pStyle w:val="Compact"/>
              <w:spacing w:before="20" w:after="20"/>
              <w:jc w:val="left"/>
            </w:pPr>
            <w:r>
              <w:rPr>
                <w:sz w:val="18"/>
              </w:rPr>
              <w:t>Clôture</w:t>
            </w:r>
          </w:p>
        </w:tc>
        <w:tc>
          <w:tcPr>
            <w:tcW w:w="6979" w:type="dxa"/>
            <w:shd w:val="clear" w:color="auto" w:fill="EEF2F6"/>
          </w:tcPr>
          <w:p>
            <w:pPr>
              <w:pStyle w:val="Compact"/>
              <w:spacing w:before="20" w:after="20"/>
              <w:jc w:val="left"/>
            </w:pPr>
            <w:r>
              <w:rPr>
                <w:sz w:val="18"/>
              </w:rPr>
              <w:t>Relecture des seuils, date de retour de la fiche validée</w:t>
            </w:r>
          </w:p>
        </w:tc>
      </w:tr>
    </w:tbl>
    <w:p>
      <w:pPr>
        <w:pStyle w:val="BodyText"/>
      </w:pPr>
      <w:r>
        <w:rPr>
          <w:bCs/>
          <w:b/>
        </w:rPr>
        <w:t>Après l’entretien</w:t>
      </w:r>
      <w:r>
        <w:t xml:space="preserve"> </w:t>
      </w:r>
      <w:r>
        <w:t>: fiche mise au propre sous 48 heures, envoyée pour validation, puis saisie dans le classeur.</w:t>
      </w:r>
    </w:p>
    <w:bookmarkEnd w:id="61"/>
    <w:bookmarkStart w:id="62" w:name="X6ceca3b1a9fef2aaf1c6503287454576f81b89e"/>
    <w:p>
      <w:pPr>
        <w:keepNext/>
        <w:pStyle w:val="Heading2"/>
      </w:pPr>
      <w:r>
        <w:t>Annexe B — Liste de contrôle qualité avant validation</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44"/>
        <w:gridCol w:w="8099"/>
        <w:gridCol w:w="768"/>
      </w:tblGrid>
      <w:tr>
        <w:trPr>
          <w:tblHeader w:val="true"/>
          <w:cantSplit w:val="true"/>
          <w:tblHeader w:val="true"/>
        </w:trPr>
        <w:tc>
          <w:tcPr>
            <w:tcW w:w="544" w:type="dxa"/>
            <w:shd w:val="clear" w:color="auto" w:fill="1F3A5F"/>
          </w:tcPr>
          <w:p>
            <w:pPr>
              <w:pStyle w:val="Compact"/>
              <w:spacing w:before="20" w:after="20"/>
              <w:jc w:val="left"/>
            </w:pPr>
            <w:r>
              <w:rPr>
                <w:b/>
                <w:color w:val="FFFFFF"/>
                <w:sz w:val="18"/>
              </w:rPr>
              <w:t>#</w:t>
            </w:r>
          </w:p>
        </w:tc>
        <w:tc>
          <w:tcPr>
            <w:tcW w:w="8099" w:type="dxa"/>
            <w:shd w:val="clear" w:color="auto" w:fill="1F3A5F"/>
          </w:tcPr>
          <w:p>
            <w:pPr>
              <w:pStyle w:val="Compact"/>
              <w:spacing w:before="20" w:after="20"/>
              <w:jc w:val="left"/>
            </w:pPr>
            <w:r>
              <w:rPr>
                <w:b/>
                <w:color w:val="FFFFFF"/>
                <w:sz w:val="18"/>
              </w:rPr>
              <w:t>Contrôle</w:t>
            </w:r>
          </w:p>
        </w:tc>
        <w:tc>
          <w:tcPr>
            <w:tcW w:w="768" w:type="dxa"/>
            <w:shd w:val="clear" w:color="auto" w:fill="1F3A5F"/>
          </w:tcPr>
          <w:p>
            <w:pPr>
              <w:pStyle w:val="Compact"/>
              <w:spacing w:before="20" w:after="20"/>
              <w:jc w:val="left"/>
            </w:pPr>
            <w:r>
              <w:rPr>
                <w:b/>
                <w:color w:val="FFFFFF"/>
                <w:sz w:val="18"/>
              </w:rPr>
              <w:t>Fait</w:t>
            </w:r>
          </w:p>
        </w:tc>
      </w:tr>
      <w:tr>
        <w:trPr>
          <w:cantSplit w:val="true"/>
        </w:trPr>
        <w:tc>
          <w:tcPr>
            <w:tcW w:w="544" w:type="dxa"/>
          </w:tcPr>
          <w:p>
            <w:pPr>
              <w:pStyle w:val="Compact"/>
              <w:spacing w:before="20" w:after="20"/>
              <w:jc w:val="left"/>
            </w:pPr>
            <w:r>
              <w:rPr>
                <w:sz w:val="18"/>
              </w:rPr>
              <w:t>1</w:t>
            </w:r>
          </w:p>
        </w:tc>
        <w:tc>
          <w:tcPr>
            <w:tcW w:w="8099" w:type="dxa"/>
          </w:tcPr>
          <w:p>
            <w:pPr>
              <w:pStyle w:val="Compact"/>
              <w:spacing w:before="20" w:after="20"/>
              <w:jc w:val="left"/>
            </w:pPr>
            <w:r>
              <w:rPr>
                <w:sz w:val="18"/>
              </w:rPr>
              <w:t>La grille d’évaluation a été validée par le commanditaire avant le premier entretien</w:t>
            </w:r>
          </w:p>
        </w:tc>
        <w:tc>
          <w:tcPr>
            <w:tcW w:w="768" w:type="dxa"/>
          </w:tcPr>
          <w:p>
            <w:pPr>
              <w:pStyle w:val="Compact"/>
              <w:spacing w:before="20" w:after="20"/>
              <w:jc w:val="left"/>
            </w:pPr>
            <w:r>
              <w:rPr>
                <w:sz w:val="18"/>
              </w:rPr>
              <w:t>☐</w:t>
            </w:r>
          </w:p>
        </w:tc>
      </w:tr>
      <w:tr>
        <w:trPr>
          <w:cantSplit w:val="true"/>
        </w:trPr>
        <w:tc>
          <w:tcPr>
            <w:tcW w:w="544" w:type="dxa"/>
            <w:shd w:val="clear" w:color="auto" w:fill="EEF2F6"/>
          </w:tcPr>
          <w:p>
            <w:pPr>
              <w:pStyle w:val="Compact"/>
              <w:spacing w:before="20" w:after="20"/>
              <w:jc w:val="left"/>
            </w:pPr>
            <w:r>
              <w:rPr>
                <w:sz w:val="18"/>
              </w:rPr>
              <w:t>2</w:t>
            </w:r>
          </w:p>
        </w:tc>
        <w:tc>
          <w:tcPr>
            <w:tcW w:w="8099" w:type="dxa"/>
            <w:shd w:val="clear" w:color="auto" w:fill="EEF2F6"/>
          </w:tcPr>
          <w:p>
            <w:pPr>
              <w:pStyle w:val="Compact"/>
              <w:spacing w:before="20" w:after="20"/>
              <w:jc w:val="left"/>
            </w:pPr>
            <w:r>
              <w:rPr>
                <w:sz w:val="18"/>
              </w:rPr>
              <w:t>Les hypothèses de travail sont écrites et ont été rappelées à chaque entretien</w:t>
            </w:r>
          </w:p>
        </w:tc>
        <w:tc>
          <w:tcPr>
            <w:tcW w:w="768" w:type="dxa"/>
            <w:shd w:val="clear" w:color="auto" w:fill="EEF2F6"/>
          </w:tcPr>
          <w:p>
            <w:pPr>
              <w:pStyle w:val="Compact"/>
              <w:spacing w:before="20" w:after="20"/>
              <w:jc w:val="left"/>
            </w:pPr>
            <w:r>
              <w:rPr>
                <w:sz w:val="18"/>
              </w:rPr>
              <w:t>☐</w:t>
            </w:r>
          </w:p>
        </w:tc>
      </w:tr>
      <w:tr>
        <w:trPr>
          <w:cantSplit w:val="true"/>
        </w:trPr>
        <w:tc>
          <w:tcPr>
            <w:tcW w:w="544" w:type="dxa"/>
          </w:tcPr>
          <w:p>
            <w:pPr>
              <w:pStyle w:val="Compact"/>
              <w:spacing w:before="20" w:after="20"/>
              <w:jc w:val="left"/>
            </w:pPr>
            <w:r>
              <w:rPr>
                <w:sz w:val="18"/>
              </w:rPr>
              <w:t>3</w:t>
            </w:r>
          </w:p>
        </w:tc>
        <w:tc>
          <w:tcPr>
            <w:tcW w:w="8099" w:type="dxa"/>
          </w:tcPr>
          <w:p>
            <w:pPr>
              <w:pStyle w:val="Compact"/>
              <w:spacing w:before="20" w:after="20"/>
              <w:jc w:val="left"/>
            </w:pPr>
            <w:r>
              <w:rPr>
                <w:sz w:val="18"/>
              </w:rPr>
              <w:t>Tous les services ont une DMIA et un PRD</w:t>
            </w:r>
          </w:p>
        </w:tc>
        <w:tc>
          <w:tcPr>
            <w:tcW w:w="768" w:type="dxa"/>
          </w:tcPr>
          <w:p>
            <w:pPr>
              <w:pStyle w:val="Compact"/>
              <w:spacing w:before="20" w:after="20"/>
              <w:jc w:val="left"/>
            </w:pPr>
            <w:r>
              <w:rPr>
                <w:sz w:val="18"/>
              </w:rPr>
              <w:t>☐</w:t>
            </w:r>
          </w:p>
        </w:tc>
      </w:tr>
      <w:tr>
        <w:trPr>
          <w:cantSplit w:val="true"/>
        </w:trPr>
        <w:tc>
          <w:tcPr>
            <w:tcW w:w="544" w:type="dxa"/>
            <w:shd w:val="clear" w:color="auto" w:fill="EEF2F6"/>
          </w:tcPr>
          <w:p>
            <w:pPr>
              <w:pStyle w:val="Compact"/>
              <w:spacing w:before="20" w:after="20"/>
              <w:jc w:val="left"/>
            </w:pPr>
            <w:r>
              <w:rPr>
                <w:sz w:val="18"/>
              </w:rPr>
              <w:t>4</w:t>
            </w:r>
          </w:p>
        </w:tc>
        <w:tc>
          <w:tcPr>
            <w:tcW w:w="8099" w:type="dxa"/>
            <w:shd w:val="clear" w:color="auto" w:fill="EEF2F6"/>
          </w:tcPr>
          <w:p>
            <w:pPr>
              <w:pStyle w:val="Compact"/>
              <w:spacing w:before="20" w:after="20"/>
              <w:jc w:val="left"/>
            </w:pPr>
            <w:r>
              <w:rPr>
                <w:sz w:val="18"/>
              </w:rPr>
              <w:t>Toutes les activités ont une DMIA et un PRD (entretien ou héritage)</w:t>
            </w:r>
          </w:p>
        </w:tc>
        <w:tc>
          <w:tcPr>
            <w:tcW w:w="768" w:type="dxa"/>
            <w:shd w:val="clear" w:color="auto" w:fill="EEF2F6"/>
          </w:tcPr>
          <w:p>
            <w:pPr>
              <w:pStyle w:val="Compact"/>
              <w:spacing w:before="20" w:after="20"/>
              <w:jc w:val="left"/>
            </w:pPr>
            <w:r>
              <w:rPr>
                <w:sz w:val="18"/>
              </w:rPr>
              <w:t>☐</w:t>
            </w:r>
          </w:p>
        </w:tc>
      </w:tr>
      <w:tr>
        <w:trPr>
          <w:cantSplit w:val="true"/>
        </w:trPr>
        <w:tc>
          <w:tcPr>
            <w:tcW w:w="544" w:type="dxa"/>
          </w:tcPr>
          <w:p>
            <w:pPr>
              <w:pStyle w:val="Compact"/>
              <w:spacing w:before="20" w:after="20"/>
              <w:jc w:val="left"/>
            </w:pPr>
            <w:r>
              <w:rPr>
                <w:sz w:val="18"/>
              </w:rPr>
              <w:t>5</w:t>
            </w:r>
          </w:p>
        </w:tc>
        <w:tc>
          <w:tcPr>
            <w:tcW w:w="8099" w:type="dxa"/>
          </w:tcPr>
          <w:p>
            <w:pPr>
              <w:pStyle w:val="Compact"/>
              <w:spacing w:before="20" w:after="20"/>
              <w:jc w:val="left"/>
            </w:pPr>
            <w:r>
              <w:rPr>
                <w:sz w:val="18"/>
              </w:rPr>
              <w:t>Contrôle C1 (service) sans anomalie ou anomalies expliquées</w:t>
            </w:r>
          </w:p>
        </w:tc>
        <w:tc>
          <w:tcPr>
            <w:tcW w:w="768" w:type="dxa"/>
          </w:tcPr>
          <w:p>
            <w:pPr>
              <w:pStyle w:val="Compact"/>
              <w:spacing w:before="20" w:after="20"/>
              <w:jc w:val="left"/>
            </w:pPr>
            <w:r>
              <w:rPr>
                <w:sz w:val="18"/>
              </w:rPr>
              <w:t>☐</w:t>
            </w:r>
          </w:p>
        </w:tc>
      </w:tr>
      <w:tr>
        <w:trPr>
          <w:cantSplit w:val="true"/>
        </w:trPr>
        <w:tc>
          <w:tcPr>
            <w:tcW w:w="544" w:type="dxa"/>
            <w:shd w:val="clear" w:color="auto" w:fill="EEF2F6"/>
          </w:tcPr>
          <w:p>
            <w:pPr>
              <w:pStyle w:val="Compact"/>
              <w:spacing w:before="20" w:after="20"/>
              <w:jc w:val="left"/>
            </w:pPr>
            <w:r>
              <w:rPr>
                <w:sz w:val="18"/>
              </w:rPr>
              <w:t>6</w:t>
            </w:r>
          </w:p>
        </w:tc>
        <w:tc>
          <w:tcPr>
            <w:tcW w:w="8099" w:type="dxa"/>
            <w:shd w:val="clear" w:color="auto" w:fill="EEF2F6"/>
          </w:tcPr>
          <w:p>
            <w:pPr>
              <w:pStyle w:val="Compact"/>
              <w:spacing w:before="20" w:after="20"/>
              <w:jc w:val="left"/>
            </w:pPr>
            <w:r>
              <w:rPr>
                <w:sz w:val="18"/>
              </w:rPr>
              <w:t>Contrôle C2 (amont) sans anomalie ou anomalies expliquées</w:t>
            </w:r>
          </w:p>
        </w:tc>
        <w:tc>
          <w:tcPr>
            <w:tcW w:w="768" w:type="dxa"/>
            <w:shd w:val="clear" w:color="auto" w:fill="EEF2F6"/>
          </w:tcPr>
          <w:p>
            <w:pPr>
              <w:pStyle w:val="Compact"/>
              <w:spacing w:before="20" w:after="20"/>
              <w:jc w:val="left"/>
            </w:pPr>
            <w:r>
              <w:rPr>
                <w:sz w:val="18"/>
              </w:rPr>
              <w:t>☐</w:t>
            </w:r>
          </w:p>
        </w:tc>
      </w:tr>
      <w:tr>
        <w:trPr>
          <w:cantSplit w:val="true"/>
        </w:trPr>
        <w:tc>
          <w:tcPr>
            <w:tcW w:w="544" w:type="dxa"/>
          </w:tcPr>
          <w:p>
            <w:pPr>
              <w:pStyle w:val="Compact"/>
              <w:spacing w:before="20" w:after="20"/>
              <w:jc w:val="left"/>
            </w:pPr>
            <w:r>
              <w:rPr>
                <w:sz w:val="18"/>
              </w:rPr>
              <w:t>7</w:t>
            </w:r>
          </w:p>
        </w:tc>
        <w:tc>
          <w:tcPr>
            <w:tcW w:w="8099" w:type="dxa"/>
          </w:tcPr>
          <w:p>
            <w:pPr>
              <w:pStyle w:val="Compact"/>
              <w:spacing w:before="20" w:after="20"/>
              <w:jc w:val="left"/>
            </w:pPr>
            <w:r>
              <w:rPr>
                <w:sz w:val="18"/>
              </w:rPr>
              <w:t>Contrôle C3 (marge) sans anomalie ou anomalies expliquées</w:t>
            </w:r>
          </w:p>
        </w:tc>
        <w:tc>
          <w:tcPr>
            <w:tcW w:w="768" w:type="dxa"/>
          </w:tcPr>
          <w:p>
            <w:pPr>
              <w:pStyle w:val="Compact"/>
              <w:spacing w:before="20" w:after="20"/>
              <w:jc w:val="left"/>
            </w:pPr>
            <w:r>
              <w:rPr>
                <w:sz w:val="18"/>
              </w:rPr>
              <w:t>☐</w:t>
            </w:r>
          </w:p>
        </w:tc>
      </w:tr>
      <w:tr>
        <w:trPr>
          <w:cantSplit w:val="true"/>
        </w:trPr>
        <w:tc>
          <w:tcPr>
            <w:tcW w:w="544" w:type="dxa"/>
            <w:shd w:val="clear" w:color="auto" w:fill="EEF2F6"/>
          </w:tcPr>
          <w:p>
            <w:pPr>
              <w:pStyle w:val="Compact"/>
              <w:spacing w:before="20" w:after="20"/>
              <w:jc w:val="left"/>
            </w:pPr>
            <w:r>
              <w:rPr>
                <w:sz w:val="18"/>
              </w:rPr>
              <w:t>8</w:t>
            </w:r>
          </w:p>
        </w:tc>
        <w:tc>
          <w:tcPr>
            <w:tcW w:w="8099" w:type="dxa"/>
            <w:shd w:val="clear" w:color="auto" w:fill="EEF2F6"/>
          </w:tcPr>
          <w:p>
            <w:pPr>
              <w:pStyle w:val="Compact"/>
              <w:spacing w:before="20" w:after="20"/>
              <w:jc w:val="left"/>
            </w:pPr>
            <w:r>
              <w:rPr>
                <w:sz w:val="18"/>
              </w:rPr>
              <w:t>Chaque ressource d’une activité prioritaire a une capacité constatée, ou la mention « Inconnue »</w:t>
            </w:r>
          </w:p>
        </w:tc>
        <w:tc>
          <w:tcPr>
            <w:tcW w:w="768" w:type="dxa"/>
            <w:shd w:val="clear" w:color="auto" w:fill="EEF2F6"/>
          </w:tcPr>
          <w:p>
            <w:pPr>
              <w:pStyle w:val="Compact"/>
              <w:spacing w:before="20" w:after="20"/>
              <w:jc w:val="left"/>
            </w:pPr>
            <w:r>
              <w:rPr>
                <w:sz w:val="18"/>
              </w:rPr>
              <w:t>☐</w:t>
            </w:r>
          </w:p>
        </w:tc>
      </w:tr>
      <w:tr>
        <w:trPr>
          <w:cantSplit w:val="true"/>
        </w:trPr>
        <w:tc>
          <w:tcPr>
            <w:tcW w:w="544" w:type="dxa"/>
          </w:tcPr>
          <w:p>
            <w:pPr>
              <w:pStyle w:val="Compact"/>
              <w:spacing w:before="20" w:after="20"/>
              <w:jc w:val="left"/>
            </w:pPr>
            <w:r>
              <w:rPr>
                <w:sz w:val="18"/>
              </w:rPr>
              <w:t>9</w:t>
            </w:r>
          </w:p>
        </w:tc>
        <w:tc>
          <w:tcPr>
            <w:tcW w:w="8099" w:type="dxa"/>
          </w:tcPr>
          <w:p>
            <w:pPr>
              <w:pStyle w:val="Compact"/>
              <w:spacing w:before="20" w:after="20"/>
              <w:jc w:val="left"/>
            </w:pPr>
            <w:r>
              <w:rPr>
                <w:sz w:val="18"/>
              </w:rPr>
              <w:t>Les points de concentration sont identifiés</w:t>
            </w:r>
          </w:p>
        </w:tc>
        <w:tc>
          <w:tcPr>
            <w:tcW w:w="768" w:type="dxa"/>
          </w:tcPr>
          <w:p>
            <w:pPr>
              <w:pStyle w:val="Compact"/>
              <w:spacing w:before="20" w:after="20"/>
              <w:jc w:val="left"/>
            </w:pPr>
            <w:r>
              <w:rPr>
                <w:sz w:val="18"/>
              </w:rPr>
              <w:t>☐</w:t>
            </w:r>
          </w:p>
        </w:tc>
      </w:tr>
      <w:tr>
        <w:trPr>
          <w:cantSplit w:val="true"/>
        </w:trPr>
        <w:tc>
          <w:tcPr>
            <w:tcW w:w="544" w:type="dxa"/>
            <w:shd w:val="clear" w:color="auto" w:fill="EEF2F6"/>
          </w:tcPr>
          <w:p>
            <w:pPr>
              <w:pStyle w:val="Compact"/>
              <w:spacing w:before="20" w:after="20"/>
              <w:jc w:val="left"/>
            </w:pPr>
            <w:r>
              <w:rPr>
                <w:sz w:val="18"/>
              </w:rPr>
              <w:t>10</w:t>
            </w:r>
          </w:p>
        </w:tc>
        <w:tc>
          <w:tcPr>
            <w:tcW w:w="8099" w:type="dxa"/>
            <w:shd w:val="clear" w:color="auto" w:fill="EEF2F6"/>
          </w:tcPr>
          <w:p>
            <w:pPr>
              <w:pStyle w:val="Compact"/>
              <w:spacing w:before="20" w:after="20"/>
              <w:jc w:val="left"/>
            </w:pPr>
            <w:r>
              <w:rPr>
                <w:sz w:val="18"/>
              </w:rPr>
              <w:t>Le contrôle de répartition (§7.2) a été fait</w:t>
            </w:r>
          </w:p>
        </w:tc>
        <w:tc>
          <w:tcPr>
            <w:tcW w:w="768" w:type="dxa"/>
            <w:shd w:val="clear" w:color="auto" w:fill="EEF2F6"/>
          </w:tcPr>
          <w:p>
            <w:pPr>
              <w:pStyle w:val="Compact"/>
              <w:spacing w:before="20" w:after="20"/>
              <w:jc w:val="left"/>
            </w:pPr>
            <w:r>
              <w:rPr>
                <w:sz w:val="18"/>
              </w:rPr>
              <w:t>☐</w:t>
            </w:r>
          </w:p>
        </w:tc>
      </w:tr>
      <w:tr>
        <w:trPr>
          <w:cantSplit w:val="true"/>
        </w:trPr>
        <w:tc>
          <w:tcPr>
            <w:tcW w:w="544" w:type="dxa"/>
          </w:tcPr>
          <w:p>
            <w:pPr>
              <w:pStyle w:val="Compact"/>
              <w:spacing w:before="20" w:after="20"/>
              <w:jc w:val="left"/>
            </w:pPr>
            <w:r>
              <w:rPr>
                <w:sz w:val="18"/>
              </w:rPr>
              <w:t>11</w:t>
            </w:r>
          </w:p>
        </w:tc>
        <w:tc>
          <w:tcPr>
            <w:tcW w:w="8099" w:type="dxa"/>
          </w:tcPr>
          <w:p>
            <w:pPr>
              <w:pStyle w:val="Compact"/>
              <w:spacing w:before="20" w:after="20"/>
              <w:jc w:val="left"/>
            </w:pPr>
            <w:r>
              <w:rPr>
                <w:sz w:val="18"/>
              </w:rPr>
              <w:t>Aucun nom de personne dans les registres (fonctions et rôles seulement)</w:t>
            </w:r>
          </w:p>
        </w:tc>
        <w:tc>
          <w:tcPr>
            <w:tcW w:w="768" w:type="dxa"/>
          </w:tcPr>
          <w:p>
            <w:pPr>
              <w:pStyle w:val="Compact"/>
              <w:spacing w:before="20" w:after="20"/>
              <w:jc w:val="left"/>
            </w:pPr>
            <w:r>
              <w:rPr>
                <w:sz w:val="18"/>
              </w:rPr>
              <w:t>☐</w:t>
            </w:r>
          </w:p>
        </w:tc>
      </w:tr>
      <w:tr>
        <w:trPr>
          <w:cantSplit w:val="true"/>
        </w:trPr>
        <w:tc>
          <w:tcPr>
            <w:tcW w:w="544" w:type="dxa"/>
            <w:shd w:val="clear" w:color="auto" w:fill="EEF2F6"/>
          </w:tcPr>
          <w:p>
            <w:pPr>
              <w:pStyle w:val="Compact"/>
              <w:spacing w:before="20" w:after="20"/>
              <w:jc w:val="left"/>
            </w:pPr>
            <w:r>
              <w:rPr>
                <w:sz w:val="18"/>
              </w:rPr>
              <w:t>12</w:t>
            </w:r>
          </w:p>
        </w:tc>
        <w:tc>
          <w:tcPr>
            <w:tcW w:w="8099" w:type="dxa"/>
            <w:shd w:val="clear" w:color="auto" w:fill="EEF2F6"/>
          </w:tcPr>
          <w:p>
            <w:pPr>
              <w:pStyle w:val="Compact"/>
              <w:spacing w:before="20" w:after="20"/>
              <w:jc w:val="left"/>
            </w:pPr>
            <w:r>
              <w:rPr>
                <w:sz w:val="18"/>
              </w:rPr>
              <w:t>Chaque seuil porte la fonction de la personne qui l’a fixé et une date</w:t>
            </w:r>
          </w:p>
        </w:tc>
        <w:tc>
          <w:tcPr>
            <w:tcW w:w="768" w:type="dxa"/>
            <w:shd w:val="clear" w:color="auto" w:fill="EEF2F6"/>
          </w:tcPr>
          <w:p>
            <w:pPr>
              <w:pStyle w:val="Compact"/>
              <w:spacing w:before="20" w:after="20"/>
              <w:jc w:val="left"/>
            </w:pPr>
            <w:r>
              <w:rPr>
                <w:sz w:val="18"/>
              </w:rPr>
              <w:t>☐</w:t>
            </w:r>
          </w:p>
        </w:tc>
      </w:tr>
      <w:tr>
        <w:trPr>
          <w:cantSplit w:val="true"/>
        </w:trPr>
        <w:tc>
          <w:tcPr>
            <w:tcW w:w="544" w:type="dxa"/>
          </w:tcPr>
          <w:p>
            <w:pPr>
              <w:pStyle w:val="Compact"/>
              <w:spacing w:before="20" w:after="20"/>
              <w:jc w:val="left"/>
            </w:pPr>
            <w:r>
              <w:rPr>
                <w:sz w:val="18"/>
              </w:rPr>
              <w:t>13</w:t>
            </w:r>
          </w:p>
        </w:tc>
        <w:tc>
          <w:tcPr>
            <w:tcW w:w="8099" w:type="dxa"/>
          </w:tcPr>
          <w:p>
            <w:pPr>
              <w:pStyle w:val="Compact"/>
              <w:spacing w:before="20" w:after="20"/>
              <w:jc w:val="left"/>
            </w:pPr>
            <w:r>
              <w:rPr>
                <w:sz w:val="18"/>
              </w:rPr>
              <w:t>La synthèse tient en deux pages et propose des décisions</w:t>
            </w:r>
          </w:p>
        </w:tc>
        <w:tc>
          <w:tcPr>
            <w:tcW w:w="768" w:type="dxa"/>
          </w:tcPr>
          <w:p>
            <w:pPr>
              <w:pStyle w:val="Compact"/>
              <w:spacing w:before="20" w:after="20"/>
              <w:jc w:val="left"/>
            </w:pPr>
            <w:r>
              <w:rPr>
                <w:sz w:val="18"/>
              </w:rPr>
              <w:t>☐</w:t>
            </w:r>
          </w:p>
        </w:tc>
      </w:tr>
      <w:tr>
        <w:trPr>
          <w:cantSplit w:val="true"/>
        </w:trPr>
        <w:tc>
          <w:tcPr>
            <w:tcW w:w="544" w:type="dxa"/>
            <w:shd w:val="clear" w:color="auto" w:fill="EEF2F6"/>
          </w:tcPr>
          <w:p>
            <w:pPr>
              <w:pStyle w:val="Compact"/>
              <w:spacing w:before="20" w:after="20"/>
              <w:jc w:val="left"/>
            </w:pPr>
            <w:r>
              <w:rPr>
                <w:sz w:val="18"/>
              </w:rPr>
              <w:t>14</w:t>
            </w:r>
          </w:p>
        </w:tc>
        <w:tc>
          <w:tcPr>
            <w:tcW w:w="8099" w:type="dxa"/>
            <w:shd w:val="clear" w:color="auto" w:fill="EEF2F6"/>
          </w:tcPr>
          <w:p>
            <w:pPr>
              <w:pStyle w:val="Compact"/>
              <w:spacing w:before="20" w:after="20"/>
              <w:jc w:val="left"/>
            </w:pPr>
            <w:r>
              <w:rPr>
                <w:sz w:val="18"/>
              </w:rPr>
              <w:t>La classification du document est fixée (§8.2)</w:t>
            </w:r>
          </w:p>
        </w:tc>
        <w:tc>
          <w:tcPr>
            <w:tcW w:w="768" w:type="dxa"/>
            <w:shd w:val="clear" w:color="auto" w:fill="EEF2F6"/>
          </w:tcPr>
          <w:p>
            <w:pPr>
              <w:pStyle w:val="Compact"/>
              <w:spacing w:before="20" w:after="20"/>
              <w:jc w:val="left"/>
            </w:pPr>
            <w:r>
              <w:rPr>
                <w:sz w:val="18"/>
              </w:rPr>
              <w:t>☐</w:t>
            </w:r>
          </w:p>
        </w:tc>
      </w:tr>
      <w:tr>
        <w:trPr>
          <w:cantSplit w:val="true"/>
        </w:trPr>
        <w:tc>
          <w:tcPr>
            <w:tcW w:w="544" w:type="dxa"/>
          </w:tcPr>
          <w:p>
            <w:pPr>
              <w:pStyle w:val="Compact"/>
              <w:spacing w:before="20" w:after="20"/>
              <w:jc w:val="left"/>
            </w:pPr>
            <w:r>
              <w:rPr>
                <w:sz w:val="18"/>
              </w:rPr>
              <w:t>15</w:t>
            </w:r>
          </w:p>
        </w:tc>
        <w:tc>
          <w:tcPr>
            <w:tcW w:w="8099" w:type="dxa"/>
          </w:tcPr>
          <w:p>
            <w:pPr>
              <w:pStyle w:val="Compact"/>
              <w:spacing w:before="20" w:after="20"/>
              <w:jc w:val="left"/>
            </w:pPr>
            <w:r>
              <w:rPr>
                <w:sz w:val="18"/>
              </w:rPr>
              <w:t>La date de la prochaine revue est fixée</w:t>
            </w:r>
          </w:p>
        </w:tc>
        <w:tc>
          <w:tcPr>
            <w:tcW w:w="768" w:type="dxa"/>
          </w:tcPr>
          <w:p>
            <w:pPr>
              <w:pStyle w:val="Compact"/>
              <w:spacing w:before="20" w:after="20"/>
              <w:jc w:val="left"/>
            </w:pPr>
            <w:r>
              <w:rPr>
                <w:sz w:val="18"/>
              </w:rPr>
              <w:t>☐</w:t>
            </w:r>
          </w:p>
        </w:tc>
      </w:tr>
    </w:tbl>
    <w:bookmarkEnd w:id="62"/>
    <w:bookmarkStart w:id="63" w:name="annexe-c-table-de-correspondance"/>
    <w:p>
      <w:pPr>
        <w:pStyle w:val="Heading2"/>
      </w:pPr>
      <w:r>
        <w:t>Annexe C — Table de correspondance</w:t>
      </w:r>
    </w:p>
    <w:p>
      <w:pPr>
        <w:keepNext/>
        <w:pStyle w:val="FirstParagraph"/>
      </w:pPr>
      <w:r>
        <w:rPr>
          <w:iCs/>
          <w:i/>
        </w:rPr>
        <w:t>Lecture d’expert, à vérifier contre les textes en vigueur au moment de l’adaptation et à compléter par les textes propres au secteur de l’organisation. Les mesures du ReCyF citées concernent les entités essentielles ; le ReCyF v2.5 est un document de travail.</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3029"/>
        <w:gridCol w:w="1440"/>
        <w:gridCol w:w="2103"/>
        <w:gridCol w:w="880"/>
        <w:gridCol w:w="1959"/>
      </w:tblGrid>
      <w:tr>
        <w:trPr>
          <w:tblHeader w:val="true"/>
          <w:cantSplit w:val="true"/>
          <w:tblHeader w:val="true"/>
        </w:trPr>
        <w:tc>
          <w:tcPr>
            <w:tcW w:w="3029" w:type="dxa"/>
            <w:shd w:val="clear" w:color="auto" w:fill="1F3A5F"/>
          </w:tcPr>
          <w:p>
            <w:pPr>
              <w:pStyle w:val="Compact"/>
              <w:spacing w:before="20" w:after="20"/>
              <w:jc w:val="left"/>
            </w:pPr>
            <w:r>
              <w:rPr>
                <w:b/>
                <w:color w:val="FFFFFF"/>
                <w:sz w:val="18"/>
              </w:rPr>
              <w:t>Section du modèle</w:t>
            </w:r>
          </w:p>
        </w:tc>
        <w:tc>
          <w:tcPr>
            <w:tcW w:w="1440" w:type="dxa"/>
            <w:shd w:val="clear" w:color="auto" w:fill="1F3A5F"/>
          </w:tcPr>
          <w:p>
            <w:pPr>
              <w:pStyle w:val="Compact"/>
              <w:spacing w:before="20" w:after="20"/>
              <w:jc w:val="left"/>
            </w:pPr>
            <w:r>
              <w:rPr>
                <w:b/>
                <w:color w:val="FFFFFF"/>
                <w:sz w:val="18"/>
              </w:rPr>
              <w:t>ISO 22301:2019</w:t>
            </w:r>
          </w:p>
        </w:tc>
        <w:tc>
          <w:tcPr>
            <w:tcW w:w="2103" w:type="dxa"/>
            <w:shd w:val="clear" w:color="auto" w:fill="1F3A5F"/>
          </w:tcPr>
          <w:p>
            <w:pPr>
              <w:pStyle w:val="Compact"/>
              <w:spacing w:before="20" w:after="20"/>
              <w:jc w:val="left"/>
            </w:pPr>
            <w:r>
              <w:rPr>
                <w:b/>
                <w:color w:val="FFFFFF"/>
                <w:sz w:val="18"/>
              </w:rPr>
              <w:t>Règl. (UE) 2024/2690, annexe</w:t>
            </w:r>
          </w:p>
        </w:tc>
        <w:tc>
          <w:tcPr>
            <w:tcW w:w="880" w:type="dxa"/>
            <w:shd w:val="clear" w:color="auto" w:fill="1F3A5F"/>
          </w:tcPr>
          <w:p>
            <w:pPr>
              <w:pStyle w:val="Compact"/>
              <w:spacing w:before="20" w:after="20"/>
              <w:jc w:val="left"/>
            </w:pPr>
            <w:r>
              <w:rPr>
                <w:b/>
                <w:color w:val="FFFFFF"/>
                <w:sz w:val="18"/>
              </w:rPr>
              <w:t>ReCyF v2.5</w:t>
            </w:r>
          </w:p>
        </w:tc>
        <w:tc>
          <w:tcPr>
            <w:tcW w:w="1959" w:type="dxa"/>
            <w:shd w:val="clear" w:color="auto" w:fill="1F3A5F"/>
          </w:tcPr>
          <w:p>
            <w:pPr>
              <w:pStyle w:val="Compact"/>
              <w:spacing w:before="20" w:after="20"/>
              <w:jc w:val="left"/>
            </w:pPr>
            <w:r>
              <w:rPr>
                <w:b/>
                <w:color w:val="FFFFFF"/>
                <w:sz w:val="18"/>
              </w:rPr>
              <w:t>Guide ENISA (2025)</w:t>
            </w:r>
          </w:p>
        </w:tc>
      </w:tr>
      <w:tr>
        <w:trPr>
          <w:cantSplit w:val="true"/>
        </w:trPr>
        <w:tc>
          <w:tcPr>
            <w:tcW w:w="3029" w:type="dxa"/>
          </w:tcPr>
          <w:p>
            <w:pPr>
              <w:pStyle w:val="Compact"/>
              <w:spacing w:before="20" w:after="20"/>
              <w:jc w:val="left"/>
            </w:pPr>
            <w:r>
              <w:rPr>
                <w:sz w:val="18"/>
              </w:rPr>
              <w:t>§2 Cadrage</w:t>
            </w:r>
          </w:p>
        </w:tc>
        <w:tc>
          <w:tcPr>
            <w:tcW w:w="1440" w:type="dxa"/>
          </w:tcPr>
          <w:p>
            <w:pPr>
              <w:pStyle w:val="Compact"/>
              <w:spacing w:before="20" w:after="20"/>
              <w:jc w:val="left"/>
            </w:pPr>
            <w:r>
              <w:rPr>
                <w:sz w:val="18"/>
              </w:rPr>
              <w:t>4.3, 5.3</w:t>
            </w:r>
          </w:p>
        </w:tc>
        <w:tc>
          <w:tcPr>
            <w:tcW w:w="2103" w:type="dxa"/>
          </w:tcPr>
          <w:p>
            <w:pPr>
              <w:pStyle w:val="Compact"/>
              <w:spacing w:before="20" w:after="20"/>
              <w:jc w:val="left"/>
            </w:pPr>
            <w:r>
              <w:rPr>
                <w:sz w:val="18"/>
              </w:rPr>
              <w:t>4.1.1</w:t>
            </w:r>
          </w:p>
        </w:tc>
        <w:tc>
          <w:tcPr>
            <w:tcW w:w="880" w:type="dxa"/>
          </w:tcPr>
          <w:p>
            <w:pPr>
              <w:pStyle w:val="Compact"/>
              <w:spacing w:before="20" w:after="20"/>
              <w:jc w:val="left"/>
            </w:pPr>
            <w:r>
              <w:rPr>
                <w:sz w:val="18"/>
              </w:rPr>
              <w:t>—</w:t>
            </w:r>
          </w:p>
        </w:tc>
        <w:tc>
          <w:tcPr>
            <w:tcW w:w="1959" w:type="dxa"/>
          </w:tcPr>
          <w:p>
            <w:pPr>
              <w:pStyle w:val="Compact"/>
              <w:spacing w:before="20" w:after="20"/>
              <w:jc w:val="left"/>
            </w:pPr>
            <w:r>
              <w:rPr>
                <w:sz w:val="18"/>
              </w:rPr>
              <w:t>4.1.1</w:t>
            </w:r>
          </w:p>
        </w:tc>
      </w:tr>
      <w:tr>
        <w:trPr>
          <w:cantSplit w:val="true"/>
        </w:trPr>
        <w:tc>
          <w:tcPr>
            <w:tcW w:w="3029" w:type="dxa"/>
            <w:shd w:val="clear" w:color="auto" w:fill="EEF2F6"/>
          </w:tcPr>
          <w:p>
            <w:pPr>
              <w:pStyle w:val="Compact"/>
              <w:spacing w:before="20" w:after="20"/>
              <w:jc w:val="left"/>
            </w:pPr>
            <w:r>
              <w:rPr>
                <w:sz w:val="18"/>
              </w:rPr>
              <w:t>§3 Règles d’évaluation</w:t>
            </w:r>
          </w:p>
        </w:tc>
        <w:tc>
          <w:tcPr>
            <w:tcW w:w="1440" w:type="dxa"/>
            <w:shd w:val="clear" w:color="auto" w:fill="EEF2F6"/>
          </w:tcPr>
          <w:p>
            <w:pPr>
              <w:pStyle w:val="Compact"/>
              <w:spacing w:before="20" w:after="20"/>
              <w:jc w:val="left"/>
            </w:pPr>
            <w:r>
              <w:rPr>
                <w:sz w:val="18"/>
              </w:rPr>
              <w:t>8.2.1, 8.2.2</w:t>
            </w:r>
          </w:p>
        </w:tc>
        <w:tc>
          <w:tcPr>
            <w:tcW w:w="2103" w:type="dxa"/>
            <w:shd w:val="clear" w:color="auto" w:fill="EEF2F6"/>
          </w:tcPr>
          <w:p>
            <w:pPr>
              <w:pStyle w:val="Compact"/>
              <w:spacing w:before="20" w:after="20"/>
              <w:jc w:val="left"/>
            </w:pPr>
            <w:r>
              <w:rPr>
                <w:sz w:val="18"/>
              </w:rPr>
              <w:t>4.1.3</w:t>
            </w:r>
          </w:p>
        </w:tc>
        <w:tc>
          <w:tcPr>
            <w:tcW w:w="880" w:type="dxa"/>
            <w:shd w:val="clear" w:color="auto" w:fill="EEF2F6"/>
          </w:tcPr>
          <w:p>
            <w:pPr>
              <w:pStyle w:val="Compact"/>
              <w:spacing w:before="20" w:after="20"/>
              <w:jc w:val="left"/>
            </w:pPr>
            <w:r>
              <w:rPr>
                <w:sz w:val="18"/>
              </w:rPr>
              <w:t>—</w:t>
            </w:r>
          </w:p>
        </w:tc>
        <w:tc>
          <w:tcPr>
            <w:tcW w:w="1959" w:type="dxa"/>
            <w:shd w:val="clear" w:color="auto" w:fill="EEF2F6"/>
          </w:tcPr>
          <w:p>
            <w:pPr>
              <w:pStyle w:val="Compact"/>
              <w:spacing w:before="20" w:after="20"/>
              <w:jc w:val="left"/>
            </w:pPr>
            <w:r>
              <w:rPr>
                <w:sz w:val="18"/>
              </w:rPr>
              <w:t>4.1.3</w:t>
            </w:r>
          </w:p>
        </w:tc>
      </w:tr>
      <w:tr>
        <w:trPr>
          <w:cantSplit w:val="true"/>
        </w:trPr>
        <w:tc>
          <w:tcPr>
            <w:tcW w:w="3029" w:type="dxa"/>
          </w:tcPr>
          <w:p>
            <w:pPr>
              <w:pStyle w:val="Compact"/>
              <w:spacing w:before="20" w:after="20"/>
              <w:jc w:val="left"/>
            </w:pPr>
            <w:r>
              <w:rPr>
                <w:sz w:val="18"/>
              </w:rPr>
              <w:t>§4 Registre des services</w:t>
            </w:r>
          </w:p>
        </w:tc>
        <w:tc>
          <w:tcPr>
            <w:tcW w:w="1440" w:type="dxa"/>
          </w:tcPr>
          <w:p>
            <w:pPr>
              <w:pStyle w:val="Compact"/>
              <w:spacing w:before="20" w:after="20"/>
              <w:jc w:val="left"/>
            </w:pPr>
            <w:r>
              <w:rPr>
                <w:sz w:val="18"/>
              </w:rPr>
              <w:t>8.2.2</w:t>
            </w:r>
          </w:p>
        </w:tc>
        <w:tc>
          <w:tcPr>
            <w:tcW w:w="2103" w:type="dxa"/>
          </w:tcPr>
          <w:p>
            <w:pPr>
              <w:pStyle w:val="Compact"/>
              <w:spacing w:before="20" w:after="20"/>
              <w:jc w:val="left"/>
            </w:pPr>
            <w:r>
              <w:rPr>
                <w:sz w:val="18"/>
              </w:rPr>
              <w:t>4.1.3</w:t>
            </w:r>
          </w:p>
        </w:tc>
        <w:tc>
          <w:tcPr>
            <w:tcW w:w="880" w:type="dxa"/>
          </w:tcPr>
          <w:p>
            <w:pPr>
              <w:pStyle w:val="Compact"/>
              <w:spacing w:before="20" w:after="20"/>
              <w:jc w:val="left"/>
            </w:pPr>
            <w:r>
              <w:rPr>
                <w:sz w:val="18"/>
              </w:rPr>
              <w:t>13.4</w:t>
            </w:r>
          </w:p>
        </w:tc>
        <w:tc>
          <w:tcPr>
            <w:tcW w:w="1959" w:type="dxa"/>
          </w:tcPr>
          <w:p>
            <w:pPr>
              <w:pStyle w:val="Compact"/>
              <w:spacing w:before="20" w:after="20"/>
              <w:jc w:val="left"/>
            </w:pPr>
            <w:r>
              <w:rPr>
                <w:sz w:val="18"/>
              </w:rPr>
              <w:t>4.1.3</w:t>
            </w:r>
          </w:p>
        </w:tc>
      </w:tr>
      <w:tr>
        <w:trPr>
          <w:cantSplit w:val="true"/>
        </w:trPr>
        <w:tc>
          <w:tcPr>
            <w:tcW w:w="3029" w:type="dxa"/>
            <w:shd w:val="clear" w:color="auto" w:fill="EEF2F6"/>
          </w:tcPr>
          <w:p>
            <w:pPr>
              <w:pStyle w:val="Compact"/>
              <w:spacing w:before="20" w:after="20"/>
              <w:jc w:val="left"/>
            </w:pPr>
            <w:r>
              <w:rPr>
                <w:sz w:val="18"/>
              </w:rPr>
              <w:t>§5 Analyse des activités</w:t>
            </w:r>
          </w:p>
        </w:tc>
        <w:tc>
          <w:tcPr>
            <w:tcW w:w="1440" w:type="dxa"/>
            <w:shd w:val="clear" w:color="auto" w:fill="EEF2F6"/>
          </w:tcPr>
          <w:p>
            <w:pPr>
              <w:pStyle w:val="Compact"/>
              <w:spacing w:before="20" w:after="20"/>
              <w:jc w:val="left"/>
            </w:pPr>
            <w:r>
              <w:rPr>
                <w:sz w:val="18"/>
              </w:rPr>
              <w:t>8.2.2</w:t>
            </w:r>
          </w:p>
        </w:tc>
        <w:tc>
          <w:tcPr>
            <w:tcW w:w="2103" w:type="dxa"/>
            <w:shd w:val="clear" w:color="auto" w:fill="EEF2F6"/>
          </w:tcPr>
          <w:p>
            <w:pPr>
              <w:pStyle w:val="Compact"/>
              <w:spacing w:before="20" w:after="20"/>
              <w:jc w:val="left"/>
            </w:pPr>
            <w:r>
              <w:rPr>
                <w:sz w:val="18"/>
              </w:rPr>
              <w:t>4.1.3, 4.1.2</w:t>
            </w:r>
          </w:p>
        </w:tc>
        <w:tc>
          <w:tcPr>
            <w:tcW w:w="880" w:type="dxa"/>
            <w:shd w:val="clear" w:color="auto" w:fill="EEF2F6"/>
          </w:tcPr>
          <w:p>
            <w:pPr>
              <w:pStyle w:val="Compact"/>
              <w:spacing w:before="20" w:after="20"/>
              <w:jc w:val="left"/>
            </w:pPr>
            <w:r>
              <w:rPr>
                <w:sz w:val="18"/>
              </w:rPr>
              <w:t>13.4</w:t>
            </w:r>
          </w:p>
        </w:tc>
        <w:tc>
          <w:tcPr>
            <w:tcW w:w="1959" w:type="dxa"/>
            <w:shd w:val="clear" w:color="auto" w:fill="EEF2F6"/>
          </w:tcPr>
          <w:p>
            <w:pPr>
              <w:pStyle w:val="Compact"/>
              <w:spacing w:before="20" w:after="20"/>
              <w:jc w:val="left"/>
            </w:pPr>
            <w:r>
              <w:rPr>
                <w:sz w:val="18"/>
              </w:rPr>
              <w:t>4.1.3 (RTO, RPO, SDO, MAO)</w:t>
            </w:r>
          </w:p>
        </w:tc>
      </w:tr>
      <w:tr>
        <w:trPr>
          <w:cantSplit w:val="true"/>
        </w:trPr>
        <w:tc>
          <w:tcPr>
            <w:tcW w:w="3029" w:type="dxa"/>
          </w:tcPr>
          <w:p>
            <w:pPr>
              <w:pStyle w:val="Compact"/>
              <w:spacing w:before="20" w:after="20"/>
              <w:jc w:val="left"/>
            </w:pPr>
            <w:r>
              <w:rPr>
                <w:sz w:val="18"/>
              </w:rPr>
              <w:t>§6 Ressources et dépendances</w:t>
            </w:r>
          </w:p>
        </w:tc>
        <w:tc>
          <w:tcPr>
            <w:tcW w:w="1440" w:type="dxa"/>
          </w:tcPr>
          <w:p>
            <w:pPr>
              <w:pStyle w:val="Compact"/>
              <w:spacing w:before="20" w:after="20"/>
              <w:jc w:val="left"/>
            </w:pPr>
            <w:r>
              <w:rPr>
                <w:sz w:val="18"/>
              </w:rPr>
              <w:t>8.2.2</w:t>
            </w:r>
          </w:p>
        </w:tc>
        <w:tc>
          <w:tcPr>
            <w:tcW w:w="2103" w:type="dxa"/>
          </w:tcPr>
          <w:p>
            <w:pPr>
              <w:pStyle w:val="Compact"/>
              <w:spacing w:before="20" w:after="20"/>
              <w:jc w:val="left"/>
            </w:pPr>
            <w:r>
              <w:rPr>
                <w:sz w:val="18"/>
              </w:rPr>
              <w:t>4.1.2</w:t>
            </w:r>
          </w:p>
        </w:tc>
        <w:tc>
          <w:tcPr>
            <w:tcW w:w="880" w:type="dxa"/>
          </w:tcPr>
          <w:p>
            <w:pPr>
              <w:pStyle w:val="Compact"/>
              <w:spacing w:before="20" w:after="20"/>
              <w:jc w:val="left"/>
            </w:pPr>
            <w:r>
              <w:rPr>
                <w:sz w:val="18"/>
              </w:rPr>
              <w:t>13.7</w:t>
            </w:r>
          </w:p>
        </w:tc>
        <w:tc>
          <w:tcPr>
            <w:tcW w:w="1959" w:type="dxa"/>
          </w:tcPr>
          <w:p>
            <w:pPr>
              <w:pStyle w:val="Compact"/>
              <w:spacing w:before="20" w:after="20"/>
              <w:jc w:val="left"/>
            </w:pPr>
            <w:r>
              <w:rPr>
                <w:sz w:val="18"/>
              </w:rPr>
              <w:t>4.1.2</w:t>
            </w:r>
          </w:p>
        </w:tc>
      </w:tr>
      <w:tr>
        <w:trPr>
          <w:cantSplit w:val="true"/>
        </w:trPr>
        <w:tc>
          <w:tcPr>
            <w:tcW w:w="3029" w:type="dxa"/>
            <w:shd w:val="clear" w:color="auto" w:fill="EEF2F6"/>
          </w:tcPr>
          <w:p>
            <w:pPr>
              <w:pStyle w:val="Compact"/>
              <w:spacing w:before="20" w:after="20"/>
              <w:jc w:val="left"/>
            </w:pPr>
            <w:r>
              <w:rPr>
                <w:sz w:val="18"/>
              </w:rPr>
              <w:t>§7 Consolidation</w:t>
            </w:r>
          </w:p>
        </w:tc>
        <w:tc>
          <w:tcPr>
            <w:tcW w:w="1440" w:type="dxa"/>
            <w:shd w:val="clear" w:color="auto" w:fill="EEF2F6"/>
          </w:tcPr>
          <w:p>
            <w:pPr>
              <w:pStyle w:val="Compact"/>
              <w:spacing w:before="20" w:after="20"/>
              <w:jc w:val="left"/>
            </w:pPr>
            <w:r>
              <w:rPr>
                <w:sz w:val="18"/>
              </w:rPr>
              <w:t>8.2.2, 8.3</w:t>
            </w:r>
          </w:p>
        </w:tc>
        <w:tc>
          <w:tcPr>
            <w:tcW w:w="2103" w:type="dxa"/>
            <w:shd w:val="clear" w:color="auto" w:fill="EEF2F6"/>
          </w:tcPr>
          <w:p>
            <w:pPr>
              <w:pStyle w:val="Compact"/>
              <w:spacing w:before="20" w:after="20"/>
              <w:jc w:val="left"/>
            </w:pPr>
            <w:r>
              <w:rPr>
                <w:sz w:val="18"/>
              </w:rPr>
              <w:t>2.1.3</w:t>
            </w:r>
          </w:p>
        </w:tc>
        <w:tc>
          <w:tcPr>
            <w:tcW w:w="880" w:type="dxa"/>
            <w:shd w:val="clear" w:color="auto" w:fill="EEF2F6"/>
          </w:tcPr>
          <w:p>
            <w:pPr>
              <w:pStyle w:val="Compact"/>
              <w:spacing w:before="20" w:after="20"/>
              <w:jc w:val="left"/>
            </w:pPr>
            <w:r>
              <w:rPr>
                <w:sz w:val="18"/>
              </w:rPr>
              <w:t>—</w:t>
            </w:r>
          </w:p>
        </w:tc>
        <w:tc>
          <w:tcPr>
            <w:tcW w:w="1959" w:type="dxa"/>
            <w:shd w:val="clear" w:color="auto" w:fill="EEF2F6"/>
          </w:tcPr>
          <w:p>
            <w:pPr>
              <w:pStyle w:val="Compact"/>
              <w:spacing w:before="20" w:after="20"/>
              <w:jc w:val="left"/>
            </w:pPr>
            <w:r>
              <w:rPr>
                <w:sz w:val="18"/>
              </w:rPr>
              <w:t>—</w:t>
            </w:r>
          </w:p>
        </w:tc>
      </w:tr>
      <w:tr>
        <w:trPr>
          <w:cantSplit w:val="true"/>
        </w:trPr>
        <w:tc>
          <w:tcPr>
            <w:tcW w:w="3029" w:type="dxa"/>
          </w:tcPr>
          <w:p>
            <w:pPr>
              <w:pStyle w:val="Compact"/>
              <w:spacing w:before="20" w:after="20"/>
              <w:jc w:val="left"/>
            </w:pPr>
            <w:r>
              <w:rPr>
                <w:sz w:val="18"/>
              </w:rPr>
              <w:t>§8 Validation, revue, raccordement</w:t>
            </w:r>
          </w:p>
        </w:tc>
        <w:tc>
          <w:tcPr>
            <w:tcW w:w="1440" w:type="dxa"/>
          </w:tcPr>
          <w:p>
            <w:pPr>
              <w:pStyle w:val="Compact"/>
              <w:spacing w:before="20" w:after="20"/>
              <w:jc w:val="left"/>
            </w:pPr>
            <w:r>
              <w:rPr>
                <w:sz w:val="18"/>
              </w:rPr>
              <w:t>5.1, 9.3</w:t>
            </w:r>
          </w:p>
        </w:tc>
        <w:tc>
          <w:tcPr>
            <w:tcW w:w="2103" w:type="dxa"/>
          </w:tcPr>
          <w:p>
            <w:pPr>
              <w:pStyle w:val="Compact"/>
              <w:spacing w:before="20" w:after="20"/>
              <w:jc w:val="left"/>
            </w:pPr>
            <w:r>
              <w:rPr>
                <w:sz w:val="18"/>
              </w:rPr>
              <w:t>4.1.2, 4.1.4</w:t>
            </w:r>
          </w:p>
        </w:tc>
        <w:tc>
          <w:tcPr>
            <w:tcW w:w="880" w:type="dxa"/>
          </w:tcPr>
          <w:p>
            <w:pPr>
              <w:pStyle w:val="Compact"/>
              <w:spacing w:before="20" w:after="20"/>
              <w:jc w:val="left"/>
            </w:pPr>
            <w:r>
              <w:rPr>
                <w:sz w:val="18"/>
              </w:rPr>
              <w:t>13.6</w:t>
            </w:r>
          </w:p>
        </w:tc>
        <w:tc>
          <w:tcPr>
            <w:tcW w:w="1959" w:type="dxa"/>
          </w:tcPr>
          <w:p>
            <w:pPr>
              <w:pStyle w:val="Compact"/>
              <w:spacing w:before="20" w:after="20"/>
              <w:jc w:val="left"/>
            </w:pPr>
            <w:r>
              <w:rPr>
                <w:sz w:val="18"/>
              </w:rPr>
              <w:t>4.1.4</w:t>
            </w:r>
          </w:p>
        </w:tc>
      </w:tr>
    </w:tbl>
    <w:p>
      <w:pPr>
        <w:pStyle w:val="BodyText"/>
      </w:pPr>
      <w:r>
        <w:rPr>
          <w:iCs/>
          <w:i/>
        </w:rPr>
        <w:t>Les organisations soumises à des textes sectoriels (par exemple DORA pour le secteur financier) complètent cette table avec leurs propres obligations.</w:t>
      </w:r>
    </w:p>
    <w:bookmarkEnd w:id="63"/>
    <w:bookmarkStart w:id="69" w:name="Xb8e66454d1ab4a7fd667819368ca6ede02acf60"/>
    <w:p>
      <w:pPr>
        <w:pStyle w:val="Heading2"/>
      </w:pPr>
      <w:r>
        <w:t>Annexe D — Exemple rempli sur une organisation fictive</w:t>
      </w:r>
    </w:p>
    <w:p>
      <w:pPr>
        <w:pStyle w:val="FirstParagraph"/>
      </w:pPr>
      <w:r>
        <w:rPr>
          <w:iCs/>
          <w:i/>
        </w:rPr>
        <w:t>Organisation, chiffres et résultats entièrement fictifs, construits pour illustrer la méthode. Les mêmes données figurent dans le classeur, où les contrôles sont calculés.</w:t>
      </w:r>
    </w:p>
    <w:bookmarkStart w:id="64" w:name="d.1-contexte-et-cadrage"/>
    <w:p>
      <w:pPr>
        <w:pStyle w:val="Heading3"/>
      </w:pPr>
      <w:r>
        <w:t>D.1 Contexte et cadrage</w:t>
      </w:r>
    </w:p>
    <w:p>
      <w:pPr>
        <w:keepNext/>
        <w:pStyle w:val="FirstParagraph"/>
      </w:pPr>
      <w:r>
        <w:rPr>
          <w:bCs/>
          <w:b/>
        </w:rPr>
        <w:t>Société Exemple (fictive)</w:t>
      </w:r>
      <w:r>
        <w:t xml:space="preserve"> </w:t>
      </w:r>
      <w:r>
        <w:t>: environ 200 personnes ; vente en ligne de pièces détachées à des professionnels ; chiffre d’affaires annuel de 40 M€, dont 70 % en ligne ; un centre de relation client ; une boutique hébergée chez un fournisseur de cloud ; les paiements par carte confiés à un prestataire de services de paiement ; l’expédition confiée à un prestataire logistique depuis un entrepôt unique ; un progiciel de gestion intégré (ERP) hébergé sur le site principal.</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2091"/>
        <w:gridCol w:w="7320"/>
      </w:tblGrid>
      <w:tr>
        <w:trPr>
          <w:tblHeader w:val="true"/>
          <w:cantSplit w:val="true"/>
          <w:tblHeader w:val="true"/>
        </w:trPr>
        <w:tc>
          <w:tcPr>
            <w:tcW w:w="2091" w:type="dxa"/>
            <w:shd w:val="clear" w:color="auto" w:fill="1F3A5F"/>
          </w:tcPr>
          <w:p>
            <w:pPr>
              <w:pStyle w:val="Compact"/>
              <w:spacing w:before="20" w:after="20"/>
              <w:jc w:val="left"/>
            </w:pPr>
            <w:r>
              <w:rPr>
                <w:b/>
                <w:color w:val="FFFFFF"/>
                <w:sz w:val="18"/>
              </w:rPr>
              <w:t>Rubrique</w:t>
            </w:r>
          </w:p>
        </w:tc>
        <w:tc>
          <w:tcPr>
            <w:tcW w:w="7320" w:type="dxa"/>
            <w:shd w:val="clear" w:color="auto" w:fill="1F3A5F"/>
          </w:tcPr>
          <w:p>
            <w:pPr>
              <w:pStyle w:val="Compact"/>
              <w:spacing w:before="20" w:after="20"/>
              <w:jc w:val="left"/>
            </w:pPr>
            <w:r>
              <w:rPr>
                <w:b/>
                <w:color w:val="FFFFFF"/>
                <w:sz w:val="18"/>
              </w:rPr>
              <w:t>Choix</w:t>
            </w:r>
          </w:p>
        </w:tc>
      </w:tr>
      <w:tr>
        <w:trPr>
          <w:cantSplit w:val="true"/>
        </w:trPr>
        <w:tc>
          <w:tcPr>
            <w:tcW w:w="2091" w:type="dxa"/>
          </w:tcPr>
          <w:p>
            <w:pPr>
              <w:pStyle w:val="Compact"/>
              <w:spacing w:before="20" w:after="20"/>
              <w:jc w:val="left"/>
            </w:pPr>
            <w:r>
              <w:rPr>
                <w:sz w:val="18"/>
              </w:rPr>
              <w:t>Format</w:t>
            </w:r>
          </w:p>
        </w:tc>
        <w:tc>
          <w:tcPr>
            <w:tcW w:w="7320" w:type="dxa"/>
          </w:tcPr>
          <w:p>
            <w:pPr>
              <w:pStyle w:val="Compact"/>
              <w:spacing w:before="20" w:after="20"/>
              <w:jc w:val="left"/>
            </w:pPr>
            <w:r>
              <w:rPr>
                <w:sz w:val="18"/>
              </w:rPr>
              <w:t>Standard</w:t>
            </w:r>
          </w:p>
        </w:tc>
      </w:tr>
      <w:tr>
        <w:trPr>
          <w:cantSplit w:val="true"/>
        </w:trPr>
        <w:tc>
          <w:tcPr>
            <w:tcW w:w="2091" w:type="dxa"/>
            <w:shd w:val="clear" w:color="auto" w:fill="EEF2F6"/>
          </w:tcPr>
          <w:p>
            <w:pPr>
              <w:pStyle w:val="Compact"/>
              <w:spacing w:before="20" w:after="20"/>
              <w:jc w:val="left"/>
            </w:pPr>
            <w:r>
              <w:rPr>
                <w:sz w:val="18"/>
              </w:rPr>
              <w:t>Commanditaire</w:t>
            </w:r>
          </w:p>
        </w:tc>
        <w:tc>
          <w:tcPr>
            <w:tcW w:w="7320" w:type="dxa"/>
            <w:shd w:val="clear" w:color="auto" w:fill="EEF2F6"/>
          </w:tcPr>
          <w:p>
            <w:pPr>
              <w:pStyle w:val="Compact"/>
              <w:spacing w:before="20" w:after="20"/>
              <w:jc w:val="left"/>
            </w:pPr>
            <w:r>
              <w:rPr>
                <w:sz w:val="18"/>
              </w:rPr>
              <w:t>Directeur général délégué</w:t>
            </w:r>
          </w:p>
        </w:tc>
      </w:tr>
      <w:tr>
        <w:trPr>
          <w:cantSplit w:val="true"/>
        </w:trPr>
        <w:tc>
          <w:tcPr>
            <w:tcW w:w="2091" w:type="dxa"/>
          </w:tcPr>
          <w:p>
            <w:pPr>
              <w:pStyle w:val="Compact"/>
              <w:spacing w:before="20" w:after="20"/>
              <w:jc w:val="left"/>
            </w:pPr>
            <w:r>
              <w:rPr>
                <w:sz w:val="18"/>
              </w:rPr>
              <w:t>Responsable de l’analyse</w:t>
            </w:r>
          </w:p>
        </w:tc>
        <w:tc>
          <w:tcPr>
            <w:tcW w:w="7320" w:type="dxa"/>
          </w:tcPr>
          <w:p>
            <w:pPr>
              <w:pStyle w:val="Compact"/>
              <w:spacing w:before="20" w:after="20"/>
              <w:jc w:val="left"/>
            </w:pPr>
            <w:r>
              <w:rPr>
                <w:sz w:val="18"/>
              </w:rPr>
              <w:t>Responsable de la continuité d’activité</w:t>
            </w:r>
          </w:p>
        </w:tc>
      </w:tr>
      <w:tr>
        <w:trPr>
          <w:cantSplit w:val="true"/>
        </w:trPr>
        <w:tc>
          <w:tcPr>
            <w:tcW w:w="2091" w:type="dxa"/>
            <w:shd w:val="clear" w:color="auto" w:fill="EEF2F6"/>
          </w:tcPr>
          <w:p>
            <w:pPr>
              <w:pStyle w:val="Compact"/>
              <w:spacing w:before="20" w:after="20"/>
              <w:jc w:val="left"/>
            </w:pPr>
            <w:r>
              <w:rPr>
                <w:sz w:val="18"/>
              </w:rPr>
              <w:t>Hypothèses</w:t>
            </w:r>
          </w:p>
        </w:tc>
        <w:tc>
          <w:tcPr>
            <w:tcW w:w="7320" w:type="dxa"/>
            <w:shd w:val="clear" w:color="auto" w:fill="EEF2F6"/>
          </w:tcPr>
          <w:p>
            <w:pPr>
              <w:pStyle w:val="Compact"/>
              <w:spacing w:before="20" w:after="20"/>
              <w:jc w:val="left"/>
            </w:pPr>
            <w:r>
              <w:rPr>
                <w:sz w:val="18"/>
              </w:rPr>
              <w:t>H1 perte totale ; H2 moment le plus défavorable ; H3 interruption touchant tout le site principal</w:t>
            </w:r>
          </w:p>
        </w:tc>
      </w:tr>
      <w:tr>
        <w:trPr>
          <w:cantSplit w:val="true"/>
        </w:trPr>
        <w:tc>
          <w:tcPr>
            <w:tcW w:w="2091" w:type="dxa"/>
          </w:tcPr>
          <w:p>
            <w:pPr>
              <w:pStyle w:val="Compact"/>
              <w:spacing w:before="20" w:after="20"/>
              <w:jc w:val="left"/>
            </w:pPr>
            <w:r>
              <w:rPr>
                <w:sz w:val="18"/>
              </w:rPr>
              <w:t>Seuils financiers</w:t>
            </w:r>
          </w:p>
        </w:tc>
        <w:tc>
          <w:tcPr>
            <w:tcW w:w="7320" w:type="dxa"/>
          </w:tcPr>
          <w:p>
            <w:pPr>
              <w:pStyle w:val="Compact"/>
              <w:spacing w:before="20" w:after="20"/>
              <w:jc w:val="left"/>
            </w:pPr>
            <w:r>
              <w:rPr>
                <w:sz w:val="18"/>
              </w:rPr>
              <w:t>Mineur &lt; 40 k€ ; significatif 40 à 200 k€ ; grave 200 à 800 k€ ; critique &gt; 800 k€</w:t>
            </w:r>
          </w:p>
        </w:tc>
      </w:tr>
      <w:tr>
        <w:trPr>
          <w:cantSplit w:val="true"/>
        </w:trPr>
        <w:tc>
          <w:tcPr>
            <w:tcW w:w="2091" w:type="dxa"/>
            <w:shd w:val="clear" w:color="auto" w:fill="EEF2F6"/>
          </w:tcPr>
          <w:p>
            <w:pPr>
              <w:pStyle w:val="Compact"/>
              <w:spacing w:before="20" w:after="20"/>
              <w:jc w:val="left"/>
            </w:pPr>
            <w:r>
              <w:rPr>
                <w:sz w:val="18"/>
              </w:rPr>
              <w:t>Horizons</w:t>
            </w:r>
          </w:p>
        </w:tc>
        <w:tc>
          <w:tcPr>
            <w:tcW w:w="7320" w:type="dxa"/>
            <w:shd w:val="clear" w:color="auto" w:fill="EEF2F6"/>
          </w:tcPr>
          <w:p>
            <w:pPr>
              <w:pStyle w:val="Compact"/>
              <w:spacing w:before="20" w:after="20"/>
              <w:jc w:val="left"/>
            </w:pPr>
            <w:r>
              <w:rPr>
                <w:sz w:val="18"/>
              </w:rPr>
              <w:t>4 h, 1 j, 3 j, 1 sem., 1 mois (l’horizon d’une heure n’est pas retenu)</w:t>
            </w:r>
          </w:p>
        </w:tc>
      </w:tr>
    </w:tbl>
    <w:bookmarkEnd w:id="64"/>
    <w:bookmarkStart w:id="65" w:name="d.2-registre-des-services"/>
    <w:p>
      <w:pPr>
        <w:keepNext/>
        <w:pStyle w:val="Heading3"/>
      </w:pPr>
      <w:r>
        <w:t>D.2 Registre des services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20"/>
        <w:gridCol w:w="1837"/>
        <w:gridCol w:w="1833"/>
        <w:gridCol w:w="720"/>
        <w:gridCol w:w="1681"/>
        <w:gridCol w:w="1398"/>
        <w:gridCol w:w="1422"/>
      </w:tblGrid>
      <w:tr>
        <w:trPr>
          <w:tblHeader w:val="true"/>
          <w:cantSplit w:val="true"/>
          <w:tblHeader w:val="true"/>
        </w:trPr>
        <w:tc>
          <w:tcPr>
            <w:tcW w:w="520" w:type="dxa"/>
            <w:shd w:val="clear" w:color="auto" w:fill="1F3A5F"/>
          </w:tcPr>
          <w:p>
            <w:pPr>
              <w:pStyle w:val="Compact"/>
              <w:spacing w:before="20" w:after="20"/>
              <w:jc w:val="left"/>
            </w:pPr>
            <w:r>
              <w:rPr>
                <w:b/>
                <w:color w:val="FFFFFF"/>
                <w:sz w:val="16"/>
              </w:rPr>
              <w:t>ID</w:t>
            </w:r>
          </w:p>
        </w:tc>
        <w:tc>
          <w:tcPr>
            <w:tcW w:w="1837" w:type="dxa"/>
            <w:shd w:val="clear" w:color="auto" w:fill="1F3A5F"/>
          </w:tcPr>
          <w:p>
            <w:pPr>
              <w:pStyle w:val="Compact"/>
              <w:spacing w:before="20" w:after="20"/>
              <w:jc w:val="left"/>
            </w:pPr>
            <w:r>
              <w:rPr>
                <w:b/>
                <w:color w:val="FFFFFF"/>
                <w:sz w:val="16"/>
              </w:rPr>
              <w:t>Service</w:t>
            </w:r>
          </w:p>
        </w:tc>
        <w:tc>
          <w:tcPr>
            <w:tcW w:w="1833" w:type="dxa"/>
            <w:shd w:val="clear" w:color="auto" w:fill="1F3A5F"/>
          </w:tcPr>
          <w:p>
            <w:pPr>
              <w:pStyle w:val="Compact"/>
              <w:spacing w:before="20" w:after="20"/>
              <w:jc w:val="left"/>
            </w:pPr>
            <w:r>
              <w:rPr>
                <w:b/>
                <w:color w:val="FFFFFF"/>
                <w:sz w:val="16"/>
              </w:rPr>
              <w:t>DMIA</w:t>
            </w:r>
          </w:p>
        </w:tc>
        <w:tc>
          <w:tcPr>
            <w:tcW w:w="720" w:type="dxa"/>
            <w:shd w:val="clear" w:color="auto" w:fill="1F3A5F"/>
          </w:tcPr>
          <w:p>
            <w:pPr>
              <w:pStyle w:val="Compact"/>
              <w:spacing w:before="20" w:after="20"/>
              <w:jc w:val="left"/>
            </w:pPr>
            <w:r>
              <w:rPr>
                <w:b/>
                <w:color w:val="FFFFFF"/>
                <w:sz w:val="16"/>
              </w:rPr>
              <w:t>PRD</w:t>
            </w:r>
          </w:p>
        </w:tc>
        <w:tc>
          <w:tcPr>
            <w:tcW w:w="1681" w:type="dxa"/>
            <w:shd w:val="clear" w:color="auto" w:fill="1F3A5F"/>
          </w:tcPr>
          <w:p>
            <w:pPr>
              <w:pStyle w:val="Compact"/>
              <w:spacing w:before="20" w:after="20"/>
              <w:jc w:val="left"/>
            </w:pPr>
            <w:r>
              <w:rPr>
                <w:b/>
                <w:color w:val="FFFFFF"/>
                <w:sz w:val="16"/>
              </w:rPr>
              <w:t>Niveau minimal</w:t>
            </w:r>
          </w:p>
        </w:tc>
        <w:tc>
          <w:tcPr>
            <w:tcW w:w="1398" w:type="dxa"/>
            <w:shd w:val="clear" w:color="auto" w:fill="1F3A5F"/>
          </w:tcPr>
          <w:p>
            <w:pPr>
              <w:pStyle w:val="Compact"/>
              <w:spacing w:before="20" w:after="20"/>
              <w:jc w:val="left"/>
            </w:pPr>
            <w:r>
              <w:rPr>
                <w:b/>
                <w:color w:val="FFFFFF"/>
                <w:sz w:val="16"/>
              </w:rPr>
              <w:t>Périodes critiques</w:t>
            </w:r>
          </w:p>
        </w:tc>
        <w:tc>
          <w:tcPr>
            <w:tcW w:w="1422" w:type="dxa"/>
            <w:shd w:val="clear" w:color="auto" w:fill="1F3A5F"/>
          </w:tcPr>
          <w:p>
            <w:pPr>
              <w:pStyle w:val="Compact"/>
              <w:spacing w:before="20" w:after="20"/>
              <w:jc w:val="left"/>
            </w:pPr>
            <w:r>
              <w:rPr>
                <w:b/>
                <w:color w:val="FFFFFF"/>
                <w:sz w:val="16"/>
              </w:rPr>
              <w:t>Prioritaire</w:t>
            </w:r>
          </w:p>
        </w:tc>
      </w:tr>
      <w:tr>
        <w:trPr>
          <w:cantSplit w:val="true"/>
        </w:trPr>
        <w:tc>
          <w:tcPr>
            <w:tcW w:w="520" w:type="dxa"/>
          </w:tcPr>
          <w:p>
            <w:pPr>
              <w:pStyle w:val="Compact"/>
              <w:spacing w:before="20" w:after="20"/>
              <w:jc w:val="left"/>
            </w:pPr>
            <w:r>
              <w:rPr>
                <w:sz w:val="16"/>
              </w:rPr>
              <w:t>S1</w:t>
            </w:r>
          </w:p>
        </w:tc>
        <w:tc>
          <w:tcPr>
            <w:tcW w:w="1837" w:type="dxa"/>
          </w:tcPr>
          <w:p>
            <w:pPr>
              <w:pStyle w:val="Compact"/>
              <w:spacing w:before="20" w:after="20"/>
              <w:jc w:val="left"/>
            </w:pPr>
            <w:r>
              <w:rPr>
                <w:sz w:val="16"/>
              </w:rPr>
              <w:t>Vente en ligne aux professionnels</w:t>
            </w:r>
          </w:p>
        </w:tc>
        <w:tc>
          <w:tcPr>
            <w:tcW w:w="1833" w:type="dxa"/>
          </w:tcPr>
          <w:p>
            <w:pPr>
              <w:pStyle w:val="Compact"/>
              <w:spacing w:before="20" w:after="20"/>
              <w:jc w:val="left"/>
            </w:pPr>
            <w:r>
              <w:rPr>
                <w:sz w:val="16"/>
              </w:rPr>
              <w:t>1 j</w:t>
            </w:r>
          </w:p>
        </w:tc>
        <w:tc>
          <w:tcPr>
            <w:tcW w:w="720" w:type="dxa"/>
          </w:tcPr>
          <w:p>
            <w:pPr>
              <w:pStyle w:val="Compact"/>
              <w:spacing w:before="20" w:after="20"/>
              <w:jc w:val="left"/>
            </w:pPr>
            <w:r>
              <w:rPr>
                <w:sz w:val="16"/>
              </w:rPr>
              <w:t>1 h</w:t>
            </w:r>
          </w:p>
        </w:tc>
        <w:tc>
          <w:tcPr>
            <w:tcW w:w="1681" w:type="dxa"/>
          </w:tcPr>
          <w:p>
            <w:pPr>
              <w:pStyle w:val="Compact"/>
              <w:spacing w:before="20" w:after="20"/>
              <w:jc w:val="left"/>
            </w:pPr>
            <w:r>
              <w:rPr>
                <w:sz w:val="16"/>
              </w:rPr>
              <w:t>50 % des commandes, confirmées sous 24 h</w:t>
            </w:r>
          </w:p>
        </w:tc>
        <w:tc>
          <w:tcPr>
            <w:tcW w:w="1398" w:type="dxa"/>
          </w:tcPr>
          <w:p>
            <w:pPr>
              <w:pStyle w:val="Compact"/>
              <w:spacing w:before="20" w:after="20"/>
              <w:jc w:val="left"/>
            </w:pPr>
            <w:r>
              <w:rPr>
                <w:sz w:val="16"/>
              </w:rPr>
              <w:t>Fins de trimestre, rentrée</w:t>
            </w:r>
          </w:p>
        </w:tc>
        <w:tc>
          <w:tcPr>
            <w:tcW w:w="1422" w:type="dxa"/>
          </w:tcPr>
          <w:p>
            <w:pPr>
              <w:pStyle w:val="Compact"/>
              <w:spacing w:before="20" w:after="20"/>
              <w:jc w:val="left"/>
            </w:pPr>
            <w:r>
              <w:rPr>
                <w:sz w:val="16"/>
              </w:rPr>
              <w:t>Oui</w:t>
            </w:r>
          </w:p>
        </w:tc>
      </w:tr>
      <w:tr>
        <w:trPr>
          <w:cantSplit w:val="true"/>
        </w:trPr>
        <w:tc>
          <w:tcPr>
            <w:tcW w:w="520" w:type="dxa"/>
            <w:shd w:val="clear" w:color="auto" w:fill="EEF2F6"/>
          </w:tcPr>
          <w:p>
            <w:pPr>
              <w:pStyle w:val="Compact"/>
              <w:spacing w:before="20" w:after="20"/>
              <w:jc w:val="left"/>
            </w:pPr>
            <w:r>
              <w:rPr>
                <w:sz w:val="16"/>
              </w:rPr>
              <w:t>S2</w:t>
            </w:r>
          </w:p>
        </w:tc>
        <w:tc>
          <w:tcPr>
            <w:tcW w:w="1837" w:type="dxa"/>
            <w:shd w:val="clear" w:color="auto" w:fill="EEF2F6"/>
          </w:tcPr>
          <w:p>
            <w:pPr>
              <w:pStyle w:val="Compact"/>
              <w:spacing w:before="20" w:after="20"/>
              <w:jc w:val="left"/>
            </w:pPr>
            <w:r>
              <w:rPr>
                <w:sz w:val="16"/>
              </w:rPr>
              <w:t>Relation client</w:t>
            </w:r>
          </w:p>
        </w:tc>
        <w:tc>
          <w:tcPr>
            <w:tcW w:w="1833" w:type="dxa"/>
            <w:shd w:val="clear" w:color="auto" w:fill="EEF2F6"/>
          </w:tcPr>
          <w:p>
            <w:pPr>
              <w:pStyle w:val="Compact"/>
              <w:spacing w:before="20" w:after="20"/>
              <w:jc w:val="left"/>
            </w:pPr>
            <w:r>
              <w:rPr>
                <w:sz w:val="16"/>
              </w:rPr>
              <w:t>3 j</w:t>
            </w:r>
          </w:p>
        </w:tc>
        <w:tc>
          <w:tcPr>
            <w:tcW w:w="720" w:type="dxa"/>
            <w:shd w:val="clear" w:color="auto" w:fill="EEF2F6"/>
          </w:tcPr>
          <w:p>
            <w:pPr>
              <w:pStyle w:val="Compact"/>
              <w:spacing w:before="20" w:after="20"/>
              <w:jc w:val="left"/>
            </w:pPr>
            <w:r>
              <w:rPr>
                <w:sz w:val="16"/>
              </w:rPr>
              <w:t>1 j</w:t>
            </w:r>
          </w:p>
        </w:tc>
        <w:tc>
          <w:tcPr>
            <w:tcW w:w="1681" w:type="dxa"/>
            <w:shd w:val="clear" w:color="auto" w:fill="EEF2F6"/>
          </w:tcPr>
          <w:p>
            <w:pPr>
              <w:pStyle w:val="Compact"/>
              <w:spacing w:before="20" w:after="20"/>
              <w:jc w:val="left"/>
            </w:pPr>
            <w:r>
              <w:rPr>
                <w:sz w:val="16"/>
              </w:rPr>
              <w:t>Appels urgents (commandes bloquées), 30 % du volume</w:t>
            </w:r>
          </w:p>
        </w:tc>
        <w:tc>
          <w:tcPr>
            <w:tcW w:w="1398" w:type="dxa"/>
            <w:shd w:val="clear" w:color="auto" w:fill="EEF2F6"/>
          </w:tcPr>
          <w:p>
            <w:pPr>
              <w:pStyle w:val="Compact"/>
              <w:spacing w:before="20" w:after="20"/>
              <w:jc w:val="left"/>
            </w:pPr>
            <w:r>
              <w:rPr>
                <w:sz w:val="16"/>
              </w:rPr>
              <w:t>Lundis, rentrée</w:t>
            </w:r>
          </w:p>
        </w:tc>
        <w:tc>
          <w:tcPr>
            <w:tcW w:w="1422" w:type="dxa"/>
            <w:shd w:val="clear" w:color="auto" w:fill="EEF2F6"/>
          </w:tcPr>
          <w:p>
            <w:pPr>
              <w:pStyle w:val="Compact"/>
              <w:spacing w:before="20" w:after="20"/>
              <w:jc w:val="left"/>
            </w:pPr>
            <w:r>
              <w:rPr>
                <w:sz w:val="16"/>
              </w:rPr>
              <w:t>Oui</w:t>
            </w:r>
          </w:p>
        </w:tc>
      </w:tr>
      <w:tr>
        <w:trPr>
          <w:cantSplit w:val="true"/>
        </w:trPr>
        <w:tc>
          <w:tcPr>
            <w:tcW w:w="520" w:type="dxa"/>
          </w:tcPr>
          <w:p>
            <w:pPr>
              <w:pStyle w:val="Compact"/>
              <w:spacing w:before="20" w:after="20"/>
              <w:jc w:val="left"/>
            </w:pPr>
            <w:r>
              <w:rPr>
                <w:sz w:val="16"/>
              </w:rPr>
              <w:t>S3</w:t>
            </w:r>
          </w:p>
        </w:tc>
        <w:tc>
          <w:tcPr>
            <w:tcW w:w="1837" w:type="dxa"/>
          </w:tcPr>
          <w:p>
            <w:pPr>
              <w:pStyle w:val="Compact"/>
              <w:spacing w:before="20" w:after="20"/>
              <w:jc w:val="left"/>
            </w:pPr>
            <w:r>
              <w:rPr>
                <w:sz w:val="16"/>
              </w:rPr>
              <w:t>Expédition des commandes</w:t>
            </w:r>
          </w:p>
        </w:tc>
        <w:tc>
          <w:tcPr>
            <w:tcW w:w="1833" w:type="dxa"/>
          </w:tcPr>
          <w:p>
            <w:pPr>
              <w:pStyle w:val="Compact"/>
              <w:spacing w:before="20" w:after="20"/>
              <w:jc w:val="left"/>
            </w:pPr>
            <w:r>
              <w:rPr>
                <w:sz w:val="16"/>
              </w:rPr>
              <w:t>3 j</w:t>
            </w:r>
          </w:p>
        </w:tc>
        <w:tc>
          <w:tcPr>
            <w:tcW w:w="720" w:type="dxa"/>
          </w:tcPr>
          <w:p>
            <w:pPr>
              <w:pStyle w:val="Compact"/>
              <w:spacing w:before="20" w:after="20"/>
              <w:jc w:val="left"/>
            </w:pPr>
            <w:r>
              <w:rPr>
                <w:sz w:val="16"/>
              </w:rPr>
              <w:t>4 h</w:t>
            </w:r>
          </w:p>
        </w:tc>
        <w:tc>
          <w:tcPr>
            <w:tcW w:w="1681" w:type="dxa"/>
          </w:tcPr>
          <w:p>
            <w:pPr>
              <w:pStyle w:val="Compact"/>
              <w:spacing w:before="20" w:after="20"/>
              <w:jc w:val="left"/>
            </w:pPr>
            <w:r>
              <w:rPr>
                <w:sz w:val="16"/>
              </w:rPr>
              <w:t>Expéditions sous engagement contractuel</w:t>
            </w:r>
          </w:p>
        </w:tc>
        <w:tc>
          <w:tcPr>
            <w:tcW w:w="1398" w:type="dxa"/>
          </w:tcPr>
          <w:p>
            <w:pPr>
              <w:pStyle w:val="Compact"/>
              <w:spacing w:before="20" w:after="20"/>
              <w:jc w:val="left"/>
            </w:pPr>
            <w:r>
              <w:rPr>
                <w:sz w:val="16"/>
              </w:rPr>
              <w:t>Fins de trimestre</w:t>
            </w:r>
          </w:p>
        </w:tc>
        <w:tc>
          <w:tcPr>
            <w:tcW w:w="1422" w:type="dxa"/>
          </w:tcPr>
          <w:p>
            <w:pPr>
              <w:pStyle w:val="Compact"/>
              <w:spacing w:before="20" w:after="20"/>
              <w:jc w:val="left"/>
            </w:pPr>
            <w:r>
              <w:rPr>
                <w:sz w:val="16"/>
              </w:rPr>
              <w:t>Oui</w:t>
            </w:r>
          </w:p>
        </w:tc>
      </w:tr>
      <w:tr>
        <w:trPr>
          <w:cantSplit w:val="true"/>
        </w:trPr>
        <w:tc>
          <w:tcPr>
            <w:tcW w:w="520" w:type="dxa"/>
            <w:shd w:val="clear" w:color="auto" w:fill="EEF2F6"/>
          </w:tcPr>
          <w:p>
            <w:pPr>
              <w:pStyle w:val="Compact"/>
              <w:spacing w:before="20" w:after="20"/>
              <w:jc w:val="left"/>
            </w:pPr>
            <w:r>
              <w:rPr>
                <w:sz w:val="16"/>
              </w:rPr>
              <w:t>S4</w:t>
            </w:r>
          </w:p>
        </w:tc>
        <w:tc>
          <w:tcPr>
            <w:tcW w:w="1837" w:type="dxa"/>
            <w:shd w:val="clear" w:color="auto" w:fill="EEF2F6"/>
          </w:tcPr>
          <w:p>
            <w:pPr>
              <w:pStyle w:val="Compact"/>
              <w:spacing w:before="20" w:after="20"/>
              <w:jc w:val="left"/>
            </w:pPr>
            <w:r>
              <w:rPr>
                <w:sz w:val="16"/>
              </w:rPr>
              <w:t>Facturation et encaissement</w:t>
            </w:r>
          </w:p>
        </w:tc>
        <w:tc>
          <w:tcPr>
            <w:tcW w:w="1833" w:type="dxa"/>
            <w:shd w:val="clear" w:color="auto" w:fill="EEF2F6"/>
          </w:tcPr>
          <w:p>
            <w:pPr>
              <w:pStyle w:val="Compact"/>
              <w:spacing w:before="20" w:after="20"/>
              <w:jc w:val="left"/>
            </w:pPr>
            <w:r>
              <w:rPr>
                <w:sz w:val="16"/>
              </w:rPr>
              <w:t>3 j (au moment le plus défavorable, la clôture ; 1 sem. hors clôture)</w:t>
            </w:r>
          </w:p>
        </w:tc>
        <w:tc>
          <w:tcPr>
            <w:tcW w:w="720" w:type="dxa"/>
            <w:shd w:val="clear" w:color="auto" w:fill="EEF2F6"/>
          </w:tcPr>
          <w:p>
            <w:pPr>
              <w:pStyle w:val="Compact"/>
              <w:spacing w:before="20" w:after="20"/>
              <w:jc w:val="left"/>
            </w:pPr>
            <w:r>
              <w:rPr>
                <w:sz w:val="16"/>
              </w:rPr>
              <w:t>1 j</w:t>
            </w:r>
          </w:p>
        </w:tc>
        <w:tc>
          <w:tcPr>
            <w:tcW w:w="1681" w:type="dxa"/>
            <w:shd w:val="clear" w:color="auto" w:fill="EEF2F6"/>
          </w:tcPr>
          <w:p>
            <w:pPr>
              <w:pStyle w:val="Compact"/>
              <w:spacing w:before="20" w:after="20"/>
              <w:jc w:val="left"/>
            </w:pPr>
            <w:r>
              <w:rPr>
                <w:sz w:val="16"/>
              </w:rPr>
              <w:t>Factures des contrats cadres</w:t>
            </w:r>
          </w:p>
        </w:tc>
        <w:tc>
          <w:tcPr>
            <w:tcW w:w="1398" w:type="dxa"/>
            <w:shd w:val="clear" w:color="auto" w:fill="EEF2F6"/>
          </w:tcPr>
          <w:p>
            <w:pPr>
              <w:pStyle w:val="Compact"/>
              <w:spacing w:before="20" w:after="20"/>
              <w:jc w:val="left"/>
            </w:pPr>
            <w:r>
              <w:rPr>
                <w:sz w:val="16"/>
              </w:rPr>
              <w:t>Clôtures mensuelles</w:t>
            </w:r>
          </w:p>
        </w:tc>
        <w:tc>
          <w:tcPr>
            <w:tcW w:w="1422" w:type="dxa"/>
            <w:shd w:val="clear" w:color="auto" w:fill="EEF2F6"/>
          </w:tcPr>
          <w:p>
            <w:pPr>
              <w:pStyle w:val="Compact"/>
              <w:spacing w:before="20" w:after="20"/>
              <w:jc w:val="left"/>
            </w:pPr>
            <w:r>
              <w:rPr>
                <w:sz w:val="16"/>
              </w:rPr>
              <w:t>Oui</w:t>
            </w:r>
          </w:p>
        </w:tc>
      </w:tr>
      <w:tr>
        <w:trPr>
          <w:cantSplit w:val="true"/>
        </w:trPr>
        <w:tc>
          <w:tcPr>
            <w:tcW w:w="520" w:type="dxa"/>
          </w:tcPr>
          <w:p>
            <w:pPr>
              <w:pStyle w:val="Compact"/>
              <w:spacing w:before="20" w:after="20"/>
              <w:jc w:val="left"/>
            </w:pPr>
            <w:r>
              <w:rPr>
                <w:sz w:val="16"/>
              </w:rPr>
              <w:t>S5</w:t>
            </w:r>
          </w:p>
        </w:tc>
        <w:tc>
          <w:tcPr>
            <w:tcW w:w="1837" w:type="dxa"/>
          </w:tcPr>
          <w:p>
            <w:pPr>
              <w:pStyle w:val="Compact"/>
              <w:spacing w:before="20" w:after="20"/>
              <w:jc w:val="left"/>
            </w:pPr>
            <w:r>
              <w:rPr>
                <w:sz w:val="16"/>
              </w:rPr>
              <w:t>Formation des clients (webinaires)</w:t>
            </w:r>
          </w:p>
        </w:tc>
        <w:tc>
          <w:tcPr>
            <w:tcW w:w="1833" w:type="dxa"/>
          </w:tcPr>
          <w:p>
            <w:pPr>
              <w:pStyle w:val="Compact"/>
              <w:spacing w:before="20" w:after="20"/>
              <w:jc w:val="left"/>
            </w:pPr>
            <w:r>
              <w:rPr>
                <w:sz w:val="16"/>
              </w:rPr>
              <w:t>1 mois</w:t>
            </w:r>
          </w:p>
        </w:tc>
        <w:tc>
          <w:tcPr>
            <w:tcW w:w="720" w:type="dxa"/>
          </w:tcPr>
          <w:p>
            <w:pPr>
              <w:pStyle w:val="Compact"/>
              <w:spacing w:before="20" w:after="20"/>
              <w:jc w:val="left"/>
            </w:pPr>
            <w:r>
              <w:rPr>
                <w:sz w:val="16"/>
              </w:rPr>
              <w:t>1 sem.</w:t>
            </w:r>
          </w:p>
        </w:tc>
        <w:tc>
          <w:tcPr>
            <w:tcW w:w="1681" w:type="dxa"/>
          </w:tcPr>
          <w:p>
            <w:pPr>
              <w:pStyle w:val="Compact"/>
              <w:spacing w:before="20" w:after="20"/>
              <w:jc w:val="left"/>
            </w:pPr>
            <w:r>
              <w:rPr>
                <w:sz w:val="16"/>
              </w:rPr>
              <w:t>—</w:t>
            </w:r>
          </w:p>
        </w:tc>
        <w:tc>
          <w:tcPr>
            <w:tcW w:w="1398" w:type="dxa"/>
          </w:tcPr>
          <w:p>
            <w:pPr>
              <w:pStyle w:val="Compact"/>
              <w:spacing w:before="20" w:after="20"/>
              <w:jc w:val="left"/>
            </w:pPr>
            <w:r>
              <w:rPr>
                <w:sz w:val="16"/>
              </w:rPr>
              <w:t>—</w:t>
            </w:r>
          </w:p>
        </w:tc>
        <w:tc>
          <w:tcPr>
            <w:tcW w:w="1422" w:type="dxa"/>
          </w:tcPr>
          <w:p>
            <w:pPr>
              <w:pStyle w:val="Compact"/>
              <w:spacing w:before="20" w:after="20"/>
              <w:jc w:val="left"/>
            </w:pPr>
            <w:r>
              <w:rPr>
                <w:sz w:val="16"/>
              </w:rPr>
              <w:t>Non</w:t>
            </w:r>
          </w:p>
        </w:tc>
      </w:tr>
      <w:tr>
        <w:trPr>
          <w:cantSplit w:val="true"/>
        </w:trPr>
        <w:tc>
          <w:tcPr>
            <w:tcW w:w="520" w:type="dxa"/>
            <w:shd w:val="clear" w:color="auto" w:fill="EEF2F6"/>
          </w:tcPr>
          <w:p>
            <w:pPr>
              <w:pStyle w:val="Compact"/>
              <w:spacing w:before="20" w:after="20"/>
              <w:jc w:val="left"/>
            </w:pPr>
            <w:r>
              <w:rPr>
                <w:sz w:val="16"/>
              </w:rPr>
              <w:t>S6</w:t>
            </w:r>
          </w:p>
        </w:tc>
        <w:tc>
          <w:tcPr>
            <w:tcW w:w="1837" w:type="dxa"/>
            <w:shd w:val="clear" w:color="auto" w:fill="EEF2F6"/>
          </w:tcPr>
          <w:p>
            <w:pPr>
              <w:pStyle w:val="Compact"/>
              <w:spacing w:before="20" w:after="20"/>
              <w:jc w:val="left"/>
            </w:pPr>
            <w:r>
              <w:rPr>
                <w:sz w:val="16"/>
              </w:rPr>
              <w:t>Recrutement</w:t>
            </w:r>
          </w:p>
        </w:tc>
        <w:tc>
          <w:tcPr>
            <w:tcW w:w="1833" w:type="dxa"/>
            <w:shd w:val="clear" w:color="auto" w:fill="EEF2F6"/>
          </w:tcPr>
          <w:p>
            <w:pPr>
              <w:pStyle w:val="Compact"/>
              <w:spacing w:before="20" w:after="20"/>
              <w:jc w:val="left"/>
            </w:pPr>
            <w:r>
              <w:rPr>
                <w:sz w:val="16"/>
              </w:rPr>
              <w:t>1 mois</w:t>
            </w:r>
          </w:p>
        </w:tc>
        <w:tc>
          <w:tcPr>
            <w:tcW w:w="720" w:type="dxa"/>
            <w:shd w:val="clear" w:color="auto" w:fill="EEF2F6"/>
          </w:tcPr>
          <w:p>
            <w:pPr>
              <w:pStyle w:val="Compact"/>
              <w:spacing w:before="20" w:after="20"/>
              <w:jc w:val="left"/>
            </w:pPr>
            <w:r>
              <w:rPr>
                <w:sz w:val="16"/>
              </w:rPr>
              <w:t>1 sem.</w:t>
            </w:r>
          </w:p>
        </w:tc>
        <w:tc>
          <w:tcPr>
            <w:tcW w:w="1681" w:type="dxa"/>
            <w:shd w:val="clear" w:color="auto" w:fill="EEF2F6"/>
          </w:tcPr>
          <w:p>
            <w:pPr>
              <w:pStyle w:val="Compact"/>
              <w:spacing w:before="20" w:after="20"/>
              <w:jc w:val="left"/>
            </w:pPr>
            <w:r>
              <w:rPr>
                <w:sz w:val="16"/>
              </w:rPr>
              <w:t>—</w:t>
            </w:r>
          </w:p>
        </w:tc>
        <w:tc>
          <w:tcPr>
            <w:tcW w:w="1398" w:type="dxa"/>
            <w:shd w:val="clear" w:color="auto" w:fill="EEF2F6"/>
          </w:tcPr>
          <w:p>
            <w:pPr>
              <w:pStyle w:val="Compact"/>
              <w:spacing w:before="20" w:after="20"/>
              <w:jc w:val="left"/>
            </w:pPr>
            <w:r>
              <w:rPr>
                <w:sz w:val="16"/>
              </w:rPr>
              <w:t>—</w:t>
            </w:r>
          </w:p>
        </w:tc>
        <w:tc>
          <w:tcPr>
            <w:tcW w:w="1422" w:type="dxa"/>
            <w:shd w:val="clear" w:color="auto" w:fill="EEF2F6"/>
          </w:tcPr>
          <w:p>
            <w:pPr>
              <w:pStyle w:val="Compact"/>
              <w:spacing w:before="20" w:after="20"/>
              <w:jc w:val="left"/>
            </w:pPr>
            <w:r>
              <w:rPr>
                <w:sz w:val="16"/>
              </w:rPr>
              <w:t>Non</w:t>
            </w:r>
          </w:p>
        </w:tc>
      </w:tr>
    </w:tbl>
    <w:bookmarkEnd w:id="65"/>
    <w:bookmarkStart w:id="66" w:name="d.3-registre-des-activités"/>
    <w:p>
      <w:pPr>
        <w:pStyle w:val="Heading3"/>
      </w:pPr>
      <w:r>
        <w:t>D.3 Registre des activités</w:t>
      </w:r>
    </w:p>
    <w:p>
      <w:pPr>
        <w:keepNext/>
        <w:pStyle w:val="FirstParagraph"/>
      </w:pPr>
      <w:r>
        <w:rPr>
          <w:bCs/>
          <w:b/>
        </w:rPr>
        <w:t>Seuils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20"/>
        <w:gridCol w:w="2018"/>
        <w:gridCol w:w="1020"/>
        <w:gridCol w:w="1220"/>
        <w:gridCol w:w="1552"/>
        <w:gridCol w:w="620"/>
        <w:gridCol w:w="820"/>
        <w:gridCol w:w="720"/>
        <w:gridCol w:w="921"/>
      </w:tblGrid>
      <w:tr>
        <w:trPr>
          <w:tblHeader w:val="true"/>
          <w:cantSplit w:val="true"/>
          <w:tblHeader w:val="true"/>
        </w:trPr>
        <w:tc>
          <w:tcPr>
            <w:tcW w:w="520" w:type="dxa"/>
            <w:shd w:val="clear" w:color="auto" w:fill="1F3A5F"/>
          </w:tcPr>
          <w:p>
            <w:pPr>
              <w:pStyle w:val="Compact"/>
              <w:spacing w:before="20" w:after="20"/>
              <w:jc w:val="left"/>
            </w:pPr>
            <w:r>
              <w:rPr>
                <w:b/>
                <w:color w:val="FFFFFF"/>
                <w:sz w:val="16"/>
              </w:rPr>
              <w:t>ID</w:t>
            </w:r>
          </w:p>
        </w:tc>
        <w:tc>
          <w:tcPr>
            <w:tcW w:w="2018" w:type="dxa"/>
            <w:shd w:val="clear" w:color="auto" w:fill="1F3A5F"/>
          </w:tcPr>
          <w:p>
            <w:pPr>
              <w:pStyle w:val="Compact"/>
              <w:spacing w:before="20" w:after="20"/>
              <w:jc w:val="left"/>
            </w:pPr>
            <w:r>
              <w:rPr>
                <w:b/>
                <w:color w:val="FFFFFF"/>
                <w:sz w:val="16"/>
              </w:rPr>
              <w:t>Activité</w:t>
            </w:r>
          </w:p>
        </w:tc>
        <w:tc>
          <w:tcPr>
            <w:tcW w:w="1020" w:type="dxa"/>
            <w:shd w:val="clear" w:color="auto" w:fill="1F3A5F"/>
          </w:tcPr>
          <w:p>
            <w:pPr>
              <w:pStyle w:val="Compact"/>
              <w:spacing w:before="20" w:after="20"/>
              <w:jc w:val="left"/>
            </w:pPr>
            <w:r>
              <w:rPr>
                <w:b/>
                <w:color w:val="FFFFFF"/>
                <w:sz w:val="16"/>
              </w:rPr>
              <w:t>Service</w:t>
            </w:r>
          </w:p>
        </w:tc>
        <w:tc>
          <w:tcPr>
            <w:tcW w:w="1220" w:type="dxa"/>
            <w:shd w:val="clear" w:color="auto" w:fill="1F3A5F"/>
          </w:tcPr>
          <w:p>
            <w:pPr>
              <w:pStyle w:val="Compact"/>
              <w:spacing w:before="20" w:after="20"/>
              <w:jc w:val="left"/>
            </w:pPr>
            <w:r>
              <w:rPr>
                <w:b/>
                <w:color w:val="FFFFFF"/>
                <w:sz w:val="16"/>
              </w:rPr>
              <w:t>Source</w:t>
            </w:r>
          </w:p>
        </w:tc>
        <w:tc>
          <w:tcPr>
            <w:tcW w:w="1552" w:type="dxa"/>
            <w:shd w:val="clear" w:color="auto" w:fill="1F3A5F"/>
          </w:tcPr>
          <w:p>
            <w:pPr>
              <w:pStyle w:val="Compact"/>
              <w:spacing w:before="20" w:after="20"/>
              <w:jc w:val="left"/>
            </w:pPr>
            <w:r>
              <w:rPr>
                <w:b/>
                <w:color w:val="FFFFFF"/>
                <w:sz w:val="16"/>
              </w:rPr>
              <w:t>DMIA</w:t>
            </w:r>
          </w:p>
        </w:tc>
        <w:tc>
          <w:tcPr>
            <w:tcW w:w="620" w:type="dxa"/>
            <w:shd w:val="clear" w:color="auto" w:fill="1F3A5F"/>
          </w:tcPr>
          <w:p>
            <w:pPr>
              <w:pStyle w:val="Compact"/>
              <w:spacing w:before="20" w:after="20"/>
              <w:jc w:val="left"/>
            </w:pPr>
            <w:r>
              <w:rPr>
                <w:b/>
                <w:color w:val="FFFFFF"/>
                <w:sz w:val="16"/>
              </w:rPr>
              <w:t>RTO</w:t>
            </w:r>
          </w:p>
        </w:tc>
        <w:tc>
          <w:tcPr>
            <w:tcW w:w="820" w:type="dxa"/>
            <w:shd w:val="clear" w:color="auto" w:fill="1F3A5F"/>
          </w:tcPr>
          <w:p>
            <w:pPr>
              <w:pStyle w:val="Compact"/>
              <w:spacing w:before="20" w:after="20"/>
              <w:jc w:val="left"/>
            </w:pPr>
            <w:r>
              <w:rPr>
                <w:b/>
                <w:color w:val="FFFFFF"/>
                <w:sz w:val="16"/>
              </w:rPr>
              <w:t>Ratio</w:t>
            </w:r>
          </w:p>
        </w:tc>
        <w:tc>
          <w:tcPr>
            <w:tcW w:w="720" w:type="dxa"/>
            <w:shd w:val="clear" w:color="auto" w:fill="1F3A5F"/>
          </w:tcPr>
          <w:p>
            <w:pPr>
              <w:pStyle w:val="Compact"/>
              <w:spacing w:before="20" w:after="20"/>
              <w:jc w:val="left"/>
            </w:pPr>
            <w:r>
              <w:rPr>
                <w:b/>
                <w:color w:val="FFFFFF"/>
                <w:sz w:val="16"/>
              </w:rPr>
              <w:t>PRD</w:t>
            </w:r>
          </w:p>
        </w:tc>
        <w:tc>
          <w:tcPr>
            <w:tcW w:w="921" w:type="dxa"/>
            <w:shd w:val="clear" w:color="auto" w:fill="1F3A5F"/>
          </w:tcPr>
          <w:p>
            <w:pPr>
              <w:pStyle w:val="Compact"/>
              <w:spacing w:before="20" w:after="20"/>
              <w:jc w:val="left"/>
            </w:pPr>
            <w:r>
              <w:rPr>
                <w:b/>
                <w:color w:val="FFFFFF"/>
                <w:sz w:val="16"/>
              </w:rPr>
              <w:t>Classe</w:t>
            </w:r>
          </w:p>
        </w:tc>
      </w:tr>
      <w:tr>
        <w:trPr>
          <w:cantSplit w:val="true"/>
        </w:trPr>
        <w:tc>
          <w:tcPr>
            <w:tcW w:w="520" w:type="dxa"/>
          </w:tcPr>
          <w:p>
            <w:pPr>
              <w:pStyle w:val="Compact"/>
              <w:spacing w:before="20" w:after="20"/>
              <w:jc w:val="left"/>
            </w:pPr>
            <w:r>
              <w:rPr>
                <w:sz w:val="16"/>
              </w:rPr>
              <w:t>A1</w:t>
            </w:r>
          </w:p>
        </w:tc>
        <w:tc>
          <w:tcPr>
            <w:tcW w:w="2018" w:type="dxa"/>
          </w:tcPr>
          <w:p>
            <w:pPr>
              <w:pStyle w:val="Compact"/>
              <w:spacing w:before="20" w:after="20"/>
              <w:jc w:val="left"/>
            </w:pPr>
            <w:r>
              <w:rPr>
                <w:sz w:val="16"/>
              </w:rPr>
              <w:t>Prise de commande en ligne</w:t>
            </w:r>
          </w:p>
        </w:tc>
        <w:tc>
          <w:tcPr>
            <w:tcW w:w="1020" w:type="dxa"/>
          </w:tcPr>
          <w:p>
            <w:pPr>
              <w:pStyle w:val="Compact"/>
              <w:spacing w:before="20" w:after="20"/>
              <w:jc w:val="left"/>
            </w:pPr>
            <w:r>
              <w:rPr>
                <w:sz w:val="16"/>
              </w:rPr>
              <w:t>S1</w:t>
            </w:r>
          </w:p>
        </w:tc>
        <w:tc>
          <w:tcPr>
            <w:tcW w:w="1220" w:type="dxa"/>
          </w:tcPr>
          <w:p>
            <w:pPr>
              <w:pStyle w:val="Compact"/>
              <w:spacing w:before="20" w:after="20"/>
              <w:jc w:val="left"/>
            </w:pPr>
            <w:r>
              <w:rPr>
                <w:sz w:val="16"/>
              </w:rPr>
              <w:t>Entretien</w:t>
            </w:r>
          </w:p>
        </w:tc>
        <w:tc>
          <w:tcPr>
            <w:tcW w:w="1552" w:type="dxa"/>
          </w:tcPr>
          <w:p>
            <w:pPr>
              <w:pStyle w:val="Compact"/>
              <w:spacing w:before="20" w:after="20"/>
              <w:jc w:val="left"/>
            </w:pPr>
            <w:r>
              <w:rPr>
                <w:sz w:val="16"/>
              </w:rPr>
              <w:t>1 j</w:t>
            </w:r>
          </w:p>
        </w:tc>
        <w:tc>
          <w:tcPr>
            <w:tcW w:w="620" w:type="dxa"/>
          </w:tcPr>
          <w:p>
            <w:pPr>
              <w:pStyle w:val="Compact"/>
              <w:spacing w:before="20" w:after="20"/>
              <w:jc w:val="left"/>
            </w:pPr>
            <w:r>
              <w:rPr>
                <w:sz w:val="16"/>
              </w:rPr>
              <w:t>8 h</w:t>
            </w:r>
          </w:p>
        </w:tc>
        <w:tc>
          <w:tcPr>
            <w:tcW w:w="820" w:type="dxa"/>
          </w:tcPr>
          <w:p>
            <w:pPr>
              <w:pStyle w:val="Compact"/>
              <w:spacing w:before="20" w:after="20"/>
              <w:jc w:val="left"/>
            </w:pPr>
            <w:r>
              <w:rPr>
                <w:sz w:val="16"/>
              </w:rPr>
              <w:t>33 %</w:t>
            </w:r>
          </w:p>
        </w:tc>
        <w:tc>
          <w:tcPr>
            <w:tcW w:w="720" w:type="dxa"/>
          </w:tcPr>
          <w:p>
            <w:pPr>
              <w:pStyle w:val="Compact"/>
              <w:spacing w:before="20" w:after="20"/>
              <w:jc w:val="left"/>
            </w:pPr>
            <w:r>
              <w:rPr>
                <w:sz w:val="16"/>
              </w:rPr>
              <w:t>1 h</w:t>
            </w:r>
          </w:p>
        </w:tc>
        <w:tc>
          <w:tcPr>
            <w:tcW w:w="921" w:type="dxa"/>
          </w:tcPr>
          <w:p>
            <w:pPr>
              <w:pStyle w:val="Compact"/>
              <w:spacing w:before="20" w:after="20"/>
              <w:jc w:val="left"/>
            </w:pPr>
            <w:r>
              <w:rPr>
                <w:sz w:val="16"/>
              </w:rPr>
              <w:t>C2</w:t>
            </w:r>
          </w:p>
        </w:tc>
      </w:tr>
      <w:tr>
        <w:trPr>
          <w:cantSplit w:val="true"/>
        </w:trPr>
        <w:tc>
          <w:tcPr>
            <w:tcW w:w="520" w:type="dxa"/>
            <w:shd w:val="clear" w:color="auto" w:fill="EEF2F6"/>
          </w:tcPr>
          <w:p>
            <w:pPr>
              <w:pStyle w:val="Compact"/>
              <w:spacing w:before="20" w:after="20"/>
              <w:jc w:val="left"/>
            </w:pPr>
            <w:r>
              <w:rPr>
                <w:sz w:val="16"/>
              </w:rPr>
              <w:t>A2</w:t>
            </w:r>
          </w:p>
        </w:tc>
        <w:tc>
          <w:tcPr>
            <w:tcW w:w="2018" w:type="dxa"/>
            <w:shd w:val="clear" w:color="auto" w:fill="EEF2F6"/>
          </w:tcPr>
          <w:p>
            <w:pPr>
              <w:pStyle w:val="Compact"/>
              <w:spacing w:before="20" w:after="20"/>
              <w:jc w:val="left"/>
            </w:pPr>
            <w:r>
              <w:rPr>
                <w:sz w:val="16"/>
              </w:rPr>
              <w:t>Encaissement par carte</w:t>
            </w:r>
          </w:p>
        </w:tc>
        <w:tc>
          <w:tcPr>
            <w:tcW w:w="1020" w:type="dxa"/>
            <w:shd w:val="clear" w:color="auto" w:fill="EEF2F6"/>
          </w:tcPr>
          <w:p>
            <w:pPr>
              <w:pStyle w:val="Compact"/>
              <w:spacing w:before="20" w:after="20"/>
              <w:jc w:val="left"/>
            </w:pPr>
            <w:r>
              <w:rPr>
                <w:sz w:val="16"/>
              </w:rPr>
              <w:t>S1</w:t>
            </w:r>
          </w:p>
        </w:tc>
        <w:tc>
          <w:tcPr>
            <w:tcW w:w="1220" w:type="dxa"/>
            <w:shd w:val="clear" w:color="auto" w:fill="EEF2F6"/>
          </w:tcPr>
          <w:p>
            <w:pPr>
              <w:pStyle w:val="Compact"/>
              <w:spacing w:before="20" w:after="20"/>
              <w:jc w:val="left"/>
            </w:pPr>
            <w:r>
              <w:rPr>
                <w:sz w:val="16"/>
              </w:rPr>
              <w:t>Entretien</w:t>
            </w:r>
          </w:p>
        </w:tc>
        <w:tc>
          <w:tcPr>
            <w:tcW w:w="1552" w:type="dxa"/>
            <w:shd w:val="clear" w:color="auto" w:fill="EEF2F6"/>
          </w:tcPr>
          <w:p>
            <w:pPr>
              <w:pStyle w:val="Compact"/>
              <w:spacing w:before="20" w:after="20"/>
              <w:jc w:val="left"/>
            </w:pPr>
            <w:r>
              <w:rPr>
                <w:sz w:val="16"/>
              </w:rPr>
              <w:t>1 j</w:t>
            </w:r>
          </w:p>
        </w:tc>
        <w:tc>
          <w:tcPr>
            <w:tcW w:w="620" w:type="dxa"/>
            <w:shd w:val="clear" w:color="auto" w:fill="EEF2F6"/>
          </w:tcPr>
          <w:p>
            <w:pPr>
              <w:pStyle w:val="Compact"/>
              <w:spacing w:before="20" w:after="20"/>
              <w:jc w:val="left"/>
            </w:pPr>
            <w:r>
              <w:rPr>
                <w:sz w:val="16"/>
              </w:rPr>
              <w:t>8 h</w:t>
            </w:r>
          </w:p>
        </w:tc>
        <w:tc>
          <w:tcPr>
            <w:tcW w:w="820" w:type="dxa"/>
            <w:shd w:val="clear" w:color="auto" w:fill="EEF2F6"/>
          </w:tcPr>
          <w:p>
            <w:pPr>
              <w:pStyle w:val="Compact"/>
              <w:spacing w:before="20" w:after="20"/>
              <w:jc w:val="left"/>
            </w:pPr>
            <w:r>
              <w:rPr>
                <w:sz w:val="16"/>
              </w:rPr>
              <w:t>33 %</w:t>
            </w:r>
          </w:p>
        </w:tc>
        <w:tc>
          <w:tcPr>
            <w:tcW w:w="720" w:type="dxa"/>
            <w:shd w:val="clear" w:color="auto" w:fill="EEF2F6"/>
          </w:tcPr>
          <w:p>
            <w:pPr>
              <w:pStyle w:val="Compact"/>
              <w:spacing w:before="20" w:after="20"/>
              <w:jc w:val="left"/>
            </w:pPr>
            <w:r>
              <w:rPr>
                <w:sz w:val="16"/>
              </w:rPr>
              <w:t>0</w:t>
            </w:r>
          </w:p>
        </w:tc>
        <w:tc>
          <w:tcPr>
            <w:tcW w:w="921" w:type="dxa"/>
            <w:shd w:val="clear" w:color="auto" w:fill="EEF2F6"/>
          </w:tcPr>
          <w:p>
            <w:pPr>
              <w:pStyle w:val="Compact"/>
              <w:spacing w:before="20" w:after="20"/>
              <w:jc w:val="left"/>
            </w:pPr>
            <w:r>
              <w:rPr>
                <w:sz w:val="16"/>
              </w:rPr>
              <w:t>C2</w:t>
            </w:r>
          </w:p>
        </w:tc>
      </w:tr>
      <w:tr>
        <w:trPr>
          <w:cantSplit w:val="true"/>
        </w:trPr>
        <w:tc>
          <w:tcPr>
            <w:tcW w:w="520" w:type="dxa"/>
          </w:tcPr>
          <w:p>
            <w:pPr>
              <w:pStyle w:val="Compact"/>
              <w:spacing w:before="20" w:after="20"/>
              <w:jc w:val="left"/>
            </w:pPr>
            <w:r>
              <w:rPr>
                <w:sz w:val="16"/>
              </w:rPr>
              <w:t>A3</w:t>
            </w:r>
          </w:p>
        </w:tc>
        <w:tc>
          <w:tcPr>
            <w:tcW w:w="2018" w:type="dxa"/>
          </w:tcPr>
          <w:p>
            <w:pPr>
              <w:pStyle w:val="Compact"/>
              <w:spacing w:before="20" w:after="20"/>
              <w:jc w:val="left"/>
            </w:pPr>
            <w:r>
              <w:rPr>
                <w:sz w:val="16"/>
              </w:rPr>
              <w:t>Gestion du catalogue et des prix</w:t>
            </w:r>
          </w:p>
        </w:tc>
        <w:tc>
          <w:tcPr>
            <w:tcW w:w="1020" w:type="dxa"/>
          </w:tcPr>
          <w:p>
            <w:pPr>
              <w:pStyle w:val="Compact"/>
              <w:spacing w:before="20" w:after="20"/>
              <w:jc w:val="left"/>
            </w:pPr>
            <w:r>
              <w:rPr>
                <w:sz w:val="16"/>
              </w:rPr>
              <w:t>S1</w:t>
            </w:r>
          </w:p>
        </w:tc>
        <w:tc>
          <w:tcPr>
            <w:tcW w:w="1220" w:type="dxa"/>
          </w:tcPr>
          <w:p>
            <w:pPr>
              <w:pStyle w:val="Compact"/>
              <w:spacing w:before="20" w:after="20"/>
              <w:jc w:val="left"/>
            </w:pPr>
            <w:r>
              <w:rPr>
                <w:sz w:val="16"/>
              </w:rPr>
              <w:t>Entretien</w:t>
            </w:r>
          </w:p>
        </w:tc>
        <w:tc>
          <w:tcPr>
            <w:tcW w:w="1552" w:type="dxa"/>
          </w:tcPr>
          <w:p>
            <w:pPr>
              <w:pStyle w:val="Compact"/>
              <w:spacing w:before="20" w:after="20"/>
              <w:jc w:val="left"/>
            </w:pPr>
            <w:r>
              <w:rPr>
                <w:sz w:val="16"/>
              </w:rPr>
              <w:t>3 j</w:t>
            </w:r>
          </w:p>
        </w:tc>
        <w:tc>
          <w:tcPr>
            <w:tcW w:w="620" w:type="dxa"/>
          </w:tcPr>
          <w:p>
            <w:pPr>
              <w:pStyle w:val="Compact"/>
              <w:spacing w:before="20" w:after="20"/>
              <w:jc w:val="left"/>
            </w:pPr>
            <w:r>
              <w:rPr>
                <w:sz w:val="16"/>
              </w:rPr>
              <w:t>2 j</w:t>
            </w:r>
          </w:p>
        </w:tc>
        <w:tc>
          <w:tcPr>
            <w:tcW w:w="820" w:type="dxa"/>
          </w:tcPr>
          <w:p>
            <w:pPr>
              <w:pStyle w:val="Compact"/>
              <w:spacing w:before="20" w:after="20"/>
              <w:jc w:val="left"/>
            </w:pPr>
            <w:r>
              <w:rPr>
                <w:sz w:val="16"/>
              </w:rPr>
              <w:t>67 %</w:t>
            </w:r>
          </w:p>
        </w:tc>
        <w:tc>
          <w:tcPr>
            <w:tcW w:w="720" w:type="dxa"/>
          </w:tcPr>
          <w:p>
            <w:pPr>
              <w:pStyle w:val="Compact"/>
              <w:spacing w:before="20" w:after="20"/>
              <w:jc w:val="left"/>
            </w:pPr>
            <w:r>
              <w:rPr>
                <w:sz w:val="16"/>
              </w:rPr>
              <w:t>1 j</w:t>
            </w:r>
          </w:p>
        </w:tc>
        <w:tc>
          <w:tcPr>
            <w:tcW w:w="921" w:type="dxa"/>
          </w:tcPr>
          <w:p>
            <w:pPr>
              <w:pStyle w:val="Compact"/>
              <w:spacing w:before="20" w:after="20"/>
              <w:jc w:val="left"/>
            </w:pPr>
            <w:r>
              <w:rPr>
                <w:sz w:val="16"/>
              </w:rPr>
              <w:t>C3</w:t>
            </w:r>
          </w:p>
        </w:tc>
      </w:tr>
      <w:tr>
        <w:trPr>
          <w:cantSplit w:val="true"/>
        </w:trPr>
        <w:tc>
          <w:tcPr>
            <w:tcW w:w="520" w:type="dxa"/>
            <w:shd w:val="clear" w:color="auto" w:fill="EEF2F6"/>
          </w:tcPr>
          <w:p>
            <w:pPr>
              <w:pStyle w:val="Compact"/>
              <w:spacing w:before="20" w:after="20"/>
              <w:jc w:val="left"/>
            </w:pPr>
            <w:r>
              <w:rPr>
                <w:sz w:val="16"/>
              </w:rPr>
              <w:t>A4</w:t>
            </w:r>
          </w:p>
        </w:tc>
        <w:tc>
          <w:tcPr>
            <w:tcW w:w="2018" w:type="dxa"/>
            <w:shd w:val="clear" w:color="auto" w:fill="EEF2F6"/>
          </w:tcPr>
          <w:p>
            <w:pPr>
              <w:pStyle w:val="Compact"/>
              <w:spacing w:before="20" w:after="20"/>
              <w:jc w:val="left"/>
            </w:pPr>
            <w:r>
              <w:rPr>
                <w:sz w:val="16"/>
              </w:rPr>
              <w:t>Accueil téléphonique</w:t>
            </w:r>
          </w:p>
        </w:tc>
        <w:tc>
          <w:tcPr>
            <w:tcW w:w="1020" w:type="dxa"/>
            <w:shd w:val="clear" w:color="auto" w:fill="EEF2F6"/>
          </w:tcPr>
          <w:p>
            <w:pPr>
              <w:pStyle w:val="Compact"/>
              <w:spacing w:before="20" w:after="20"/>
              <w:jc w:val="left"/>
            </w:pPr>
            <w:r>
              <w:rPr>
                <w:sz w:val="16"/>
              </w:rPr>
              <w:t>S2</w:t>
            </w:r>
          </w:p>
        </w:tc>
        <w:tc>
          <w:tcPr>
            <w:tcW w:w="1220" w:type="dxa"/>
            <w:shd w:val="clear" w:color="auto" w:fill="EEF2F6"/>
          </w:tcPr>
          <w:p>
            <w:pPr>
              <w:pStyle w:val="Compact"/>
              <w:spacing w:before="20" w:after="20"/>
              <w:jc w:val="left"/>
            </w:pPr>
            <w:r>
              <w:rPr>
                <w:sz w:val="16"/>
              </w:rPr>
              <w:t>Entretien</w:t>
            </w:r>
          </w:p>
        </w:tc>
        <w:tc>
          <w:tcPr>
            <w:tcW w:w="1552" w:type="dxa"/>
            <w:shd w:val="clear" w:color="auto" w:fill="EEF2F6"/>
          </w:tcPr>
          <w:p>
            <w:pPr>
              <w:pStyle w:val="Compact"/>
              <w:spacing w:before="20" w:after="20"/>
              <w:jc w:val="left"/>
            </w:pPr>
            <w:r>
              <w:rPr>
                <w:sz w:val="16"/>
              </w:rPr>
              <w:t>3 j</w:t>
            </w:r>
          </w:p>
        </w:tc>
        <w:tc>
          <w:tcPr>
            <w:tcW w:w="620" w:type="dxa"/>
            <w:shd w:val="clear" w:color="auto" w:fill="EEF2F6"/>
          </w:tcPr>
          <w:p>
            <w:pPr>
              <w:pStyle w:val="Compact"/>
              <w:spacing w:before="20" w:after="20"/>
              <w:jc w:val="left"/>
            </w:pPr>
            <w:r>
              <w:rPr>
                <w:sz w:val="16"/>
              </w:rPr>
              <w:t>1 j</w:t>
            </w:r>
          </w:p>
        </w:tc>
        <w:tc>
          <w:tcPr>
            <w:tcW w:w="820" w:type="dxa"/>
            <w:shd w:val="clear" w:color="auto" w:fill="EEF2F6"/>
          </w:tcPr>
          <w:p>
            <w:pPr>
              <w:pStyle w:val="Compact"/>
              <w:spacing w:before="20" w:after="20"/>
              <w:jc w:val="left"/>
            </w:pPr>
            <w:r>
              <w:rPr>
                <w:sz w:val="16"/>
              </w:rPr>
              <w:t>33 %</w:t>
            </w:r>
          </w:p>
        </w:tc>
        <w:tc>
          <w:tcPr>
            <w:tcW w:w="720" w:type="dxa"/>
            <w:shd w:val="clear" w:color="auto" w:fill="EEF2F6"/>
          </w:tcPr>
          <w:p>
            <w:pPr>
              <w:pStyle w:val="Compact"/>
              <w:spacing w:before="20" w:after="20"/>
              <w:jc w:val="left"/>
            </w:pPr>
            <w:r>
              <w:rPr>
                <w:sz w:val="16"/>
              </w:rPr>
              <w:t>1 j</w:t>
            </w:r>
          </w:p>
        </w:tc>
        <w:tc>
          <w:tcPr>
            <w:tcW w:w="921" w:type="dxa"/>
            <w:shd w:val="clear" w:color="auto" w:fill="EEF2F6"/>
          </w:tcPr>
          <w:p>
            <w:pPr>
              <w:pStyle w:val="Compact"/>
              <w:spacing w:before="20" w:after="20"/>
              <w:jc w:val="left"/>
            </w:pPr>
            <w:r>
              <w:rPr>
                <w:sz w:val="16"/>
              </w:rPr>
              <w:t>C2</w:t>
            </w:r>
          </w:p>
        </w:tc>
      </w:tr>
      <w:tr>
        <w:trPr>
          <w:cantSplit w:val="true"/>
        </w:trPr>
        <w:tc>
          <w:tcPr>
            <w:tcW w:w="520" w:type="dxa"/>
          </w:tcPr>
          <w:p>
            <w:pPr>
              <w:pStyle w:val="Compact"/>
              <w:spacing w:before="20" w:after="20"/>
              <w:jc w:val="left"/>
            </w:pPr>
            <w:r>
              <w:rPr>
                <w:sz w:val="16"/>
              </w:rPr>
              <w:t>A5</w:t>
            </w:r>
          </w:p>
        </w:tc>
        <w:tc>
          <w:tcPr>
            <w:tcW w:w="2018" w:type="dxa"/>
          </w:tcPr>
          <w:p>
            <w:pPr>
              <w:pStyle w:val="Compact"/>
              <w:spacing w:before="20" w:after="20"/>
              <w:jc w:val="left"/>
            </w:pPr>
            <w:r>
              <w:rPr>
                <w:sz w:val="16"/>
              </w:rPr>
              <w:t>Préparation et expédition</w:t>
            </w:r>
          </w:p>
        </w:tc>
        <w:tc>
          <w:tcPr>
            <w:tcW w:w="1020" w:type="dxa"/>
          </w:tcPr>
          <w:p>
            <w:pPr>
              <w:pStyle w:val="Compact"/>
              <w:spacing w:before="20" w:after="20"/>
              <w:jc w:val="left"/>
            </w:pPr>
            <w:r>
              <w:rPr>
                <w:sz w:val="16"/>
              </w:rPr>
              <w:t>S3</w:t>
            </w:r>
          </w:p>
        </w:tc>
        <w:tc>
          <w:tcPr>
            <w:tcW w:w="1220" w:type="dxa"/>
          </w:tcPr>
          <w:p>
            <w:pPr>
              <w:pStyle w:val="Compact"/>
              <w:spacing w:before="20" w:after="20"/>
              <w:jc w:val="left"/>
            </w:pPr>
            <w:r>
              <w:rPr>
                <w:sz w:val="16"/>
              </w:rPr>
              <w:t>Entretien</w:t>
            </w:r>
          </w:p>
        </w:tc>
        <w:tc>
          <w:tcPr>
            <w:tcW w:w="1552" w:type="dxa"/>
          </w:tcPr>
          <w:p>
            <w:pPr>
              <w:pStyle w:val="Compact"/>
              <w:spacing w:before="20" w:after="20"/>
              <w:jc w:val="left"/>
            </w:pPr>
            <w:r>
              <w:rPr>
                <w:sz w:val="16"/>
              </w:rPr>
              <w:t>3 j</w:t>
            </w:r>
          </w:p>
        </w:tc>
        <w:tc>
          <w:tcPr>
            <w:tcW w:w="620" w:type="dxa"/>
          </w:tcPr>
          <w:p>
            <w:pPr>
              <w:pStyle w:val="Compact"/>
              <w:spacing w:before="20" w:after="20"/>
              <w:jc w:val="left"/>
            </w:pPr>
            <w:r>
              <w:rPr>
                <w:sz w:val="16"/>
              </w:rPr>
              <w:t>1 j</w:t>
            </w:r>
          </w:p>
        </w:tc>
        <w:tc>
          <w:tcPr>
            <w:tcW w:w="820" w:type="dxa"/>
          </w:tcPr>
          <w:p>
            <w:pPr>
              <w:pStyle w:val="Compact"/>
              <w:spacing w:before="20" w:after="20"/>
              <w:jc w:val="left"/>
            </w:pPr>
            <w:r>
              <w:rPr>
                <w:sz w:val="16"/>
              </w:rPr>
              <w:t>33 %</w:t>
            </w:r>
          </w:p>
        </w:tc>
        <w:tc>
          <w:tcPr>
            <w:tcW w:w="720" w:type="dxa"/>
          </w:tcPr>
          <w:p>
            <w:pPr>
              <w:pStyle w:val="Compact"/>
              <w:spacing w:before="20" w:after="20"/>
              <w:jc w:val="left"/>
            </w:pPr>
            <w:r>
              <w:rPr>
                <w:sz w:val="16"/>
              </w:rPr>
              <w:t>4 h</w:t>
            </w:r>
          </w:p>
        </w:tc>
        <w:tc>
          <w:tcPr>
            <w:tcW w:w="921" w:type="dxa"/>
          </w:tcPr>
          <w:p>
            <w:pPr>
              <w:pStyle w:val="Compact"/>
              <w:spacing w:before="20" w:after="20"/>
              <w:jc w:val="left"/>
            </w:pPr>
            <w:r>
              <w:rPr>
                <w:sz w:val="16"/>
              </w:rPr>
              <w:t>C2</w:t>
            </w:r>
          </w:p>
        </w:tc>
      </w:tr>
      <w:tr>
        <w:trPr>
          <w:cantSplit w:val="true"/>
        </w:trPr>
        <w:tc>
          <w:tcPr>
            <w:tcW w:w="520" w:type="dxa"/>
            <w:shd w:val="clear" w:color="auto" w:fill="EEF2F6"/>
          </w:tcPr>
          <w:p>
            <w:pPr>
              <w:pStyle w:val="Compact"/>
              <w:spacing w:before="20" w:after="20"/>
              <w:jc w:val="left"/>
            </w:pPr>
            <w:r>
              <w:rPr>
                <w:sz w:val="16"/>
              </w:rPr>
              <w:t>A6</w:t>
            </w:r>
          </w:p>
        </w:tc>
        <w:tc>
          <w:tcPr>
            <w:tcW w:w="2018" w:type="dxa"/>
            <w:shd w:val="clear" w:color="auto" w:fill="EEF2F6"/>
          </w:tcPr>
          <w:p>
            <w:pPr>
              <w:pStyle w:val="Compact"/>
              <w:spacing w:before="20" w:after="20"/>
              <w:jc w:val="left"/>
            </w:pPr>
            <w:r>
              <w:rPr>
                <w:sz w:val="16"/>
              </w:rPr>
              <w:t>Facturation</w:t>
            </w:r>
          </w:p>
        </w:tc>
        <w:tc>
          <w:tcPr>
            <w:tcW w:w="1020" w:type="dxa"/>
            <w:shd w:val="clear" w:color="auto" w:fill="EEF2F6"/>
          </w:tcPr>
          <w:p>
            <w:pPr>
              <w:pStyle w:val="Compact"/>
              <w:spacing w:before="20" w:after="20"/>
              <w:jc w:val="left"/>
            </w:pPr>
            <w:r>
              <w:rPr>
                <w:sz w:val="16"/>
              </w:rPr>
              <w:t>S4</w:t>
            </w:r>
          </w:p>
        </w:tc>
        <w:tc>
          <w:tcPr>
            <w:tcW w:w="1220" w:type="dxa"/>
            <w:shd w:val="clear" w:color="auto" w:fill="EEF2F6"/>
          </w:tcPr>
          <w:p>
            <w:pPr>
              <w:pStyle w:val="Compact"/>
              <w:spacing w:before="20" w:after="20"/>
              <w:jc w:val="left"/>
            </w:pPr>
            <w:r>
              <w:rPr>
                <w:sz w:val="16"/>
              </w:rPr>
              <w:t>Entretien</w:t>
            </w:r>
          </w:p>
        </w:tc>
        <w:tc>
          <w:tcPr>
            <w:tcW w:w="1552" w:type="dxa"/>
            <w:shd w:val="clear" w:color="auto" w:fill="EEF2F6"/>
          </w:tcPr>
          <w:p>
            <w:pPr>
              <w:pStyle w:val="Compact"/>
              <w:spacing w:before="20" w:after="20"/>
              <w:jc w:val="left"/>
            </w:pPr>
            <w:r>
              <w:rPr>
                <w:sz w:val="16"/>
              </w:rPr>
              <w:t>3 j</w:t>
            </w:r>
          </w:p>
        </w:tc>
        <w:tc>
          <w:tcPr>
            <w:tcW w:w="620" w:type="dxa"/>
            <w:shd w:val="clear" w:color="auto" w:fill="EEF2F6"/>
          </w:tcPr>
          <w:p>
            <w:pPr>
              <w:pStyle w:val="Compact"/>
              <w:spacing w:before="20" w:after="20"/>
              <w:jc w:val="left"/>
            </w:pPr>
            <w:r>
              <w:rPr>
                <w:sz w:val="16"/>
              </w:rPr>
              <w:t>2 j</w:t>
            </w:r>
          </w:p>
        </w:tc>
        <w:tc>
          <w:tcPr>
            <w:tcW w:w="820" w:type="dxa"/>
            <w:shd w:val="clear" w:color="auto" w:fill="EEF2F6"/>
          </w:tcPr>
          <w:p>
            <w:pPr>
              <w:pStyle w:val="Compact"/>
              <w:spacing w:before="20" w:after="20"/>
              <w:jc w:val="left"/>
            </w:pPr>
            <w:r>
              <w:rPr>
                <w:sz w:val="16"/>
              </w:rPr>
              <w:t>67 %</w:t>
            </w:r>
          </w:p>
        </w:tc>
        <w:tc>
          <w:tcPr>
            <w:tcW w:w="720" w:type="dxa"/>
            <w:shd w:val="clear" w:color="auto" w:fill="EEF2F6"/>
          </w:tcPr>
          <w:p>
            <w:pPr>
              <w:pStyle w:val="Compact"/>
              <w:spacing w:before="20" w:after="20"/>
              <w:jc w:val="left"/>
            </w:pPr>
            <w:r>
              <w:rPr>
                <w:sz w:val="16"/>
              </w:rPr>
              <w:t>1 j</w:t>
            </w:r>
          </w:p>
        </w:tc>
        <w:tc>
          <w:tcPr>
            <w:tcW w:w="921" w:type="dxa"/>
            <w:shd w:val="clear" w:color="auto" w:fill="EEF2F6"/>
          </w:tcPr>
          <w:p>
            <w:pPr>
              <w:pStyle w:val="Compact"/>
              <w:spacing w:before="20" w:after="20"/>
              <w:jc w:val="left"/>
            </w:pPr>
            <w:r>
              <w:rPr>
                <w:sz w:val="16"/>
              </w:rPr>
              <w:t>C3</w:t>
            </w:r>
          </w:p>
        </w:tc>
      </w:tr>
      <w:tr>
        <w:trPr>
          <w:cantSplit w:val="true"/>
        </w:trPr>
        <w:tc>
          <w:tcPr>
            <w:tcW w:w="520" w:type="dxa"/>
          </w:tcPr>
          <w:p>
            <w:pPr>
              <w:pStyle w:val="Compact"/>
              <w:spacing w:before="20" w:after="20"/>
              <w:jc w:val="left"/>
            </w:pPr>
            <w:r>
              <w:rPr>
                <w:sz w:val="16"/>
              </w:rPr>
              <w:t>A7</w:t>
            </w:r>
          </w:p>
        </w:tc>
        <w:tc>
          <w:tcPr>
            <w:tcW w:w="2018" w:type="dxa"/>
          </w:tcPr>
          <w:p>
            <w:pPr>
              <w:pStyle w:val="Compact"/>
              <w:spacing w:before="20" w:after="20"/>
              <w:jc w:val="left"/>
            </w:pPr>
            <w:r>
              <w:rPr>
                <w:sz w:val="16"/>
              </w:rPr>
              <w:t>Contrôle des encours clients (amont de A1)</w:t>
            </w:r>
          </w:p>
        </w:tc>
        <w:tc>
          <w:tcPr>
            <w:tcW w:w="1020" w:type="dxa"/>
          </w:tcPr>
          <w:p>
            <w:pPr>
              <w:pStyle w:val="Compact"/>
              <w:spacing w:before="20" w:after="20"/>
              <w:jc w:val="left"/>
            </w:pPr>
            <w:r>
              <w:rPr>
                <w:sz w:val="16"/>
              </w:rPr>
              <w:t>S4</w:t>
            </w:r>
          </w:p>
        </w:tc>
        <w:tc>
          <w:tcPr>
            <w:tcW w:w="1220" w:type="dxa"/>
          </w:tcPr>
          <w:p>
            <w:pPr>
              <w:pStyle w:val="Compact"/>
              <w:spacing w:before="20" w:after="20"/>
              <w:jc w:val="left"/>
            </w:pPr>
            <w:r>
              <w:rPr>
                <w:sz w:val="16"/>
              </w:rPr>
              <w:t>Entretien</w:t>
            </w:r>
          </w:p>
        </w:tc>
        <w:tc>
          <w:tcPr>
            <w:tcW w:w="1552" w:type="dxa"/>
          </w:tcPr>
          <w:p>
            <w:pPr>
              <w:pStyle w:val="Compact"/>
              <w:spacing w:before="20" w:after="20"/>
              <w:jc w:val="left"/>
            </w:pPr>
            <w:r>
              <w:rPr>
                <w:sz w:val="16"/>
              </w:rPr>
              <w:t>1 j</w:t>
            </w:r>
            <w:r>
              <w:rPr>
                <w:sz w:val="16"/>
              </w:rPr>
              <w:t xml:space="preserve"> </w:t>
            </w:r>
            <w:r>
              <w:rPr>
                <w:iCs/>
                <w:i/>
                <w:sz w:val="16"/>
              </w:rPr>
              <w:t>(déclarée 1 sem., ramenée par C2)</w:t>
            </w:r>
          </w:p>
        </w:tc>
        <w:tc>
          <w:tcPr>
            <w:tcW w:w="620" w:type="dxa"/>
          </w:tcPr>
          <w:p>
            <w:pPr>
              <w:pStyle w:val="Compact"/>
              <w:spacing w:before="20" w:after="20"/>
              <w:jc w:val="left"/>
            </w:pPr>
            <w:r>
              <w:rPr>
                <w:sz w:val="16"/>
              </w:rPr>
              <w:t>8 h</w:t>
            </w:r>
          </w:p>
        </w:tc>
        <w:tc>
          <w:tcPr>
            <w:tcW w:w="820" w:type="dxa"/>
          </w:tcPr>
          <w:p>
            <w:pPr>
              <w:pStyle w:val="Compact"/>
              <w:spacing w:before="20" w:after="20"/>
              <w:jc w:val="left"/>
            </w:pPr>
            <w:r>
              <w:rPr>
                <w:sz w:val="16"/>
              </w:rPr>
              <w:t>33 %</w:t>
            </w:r>
          </w:p>
        </w:tc>
        <w:tc>
          <w:tcPr>
            <w:tcW w:w="720" w:type="dxa"/>
          </w:tcPr>
          <w:p>
            <w:pPr>
              <w:pStyle w:val="Compact"/>
              <w:spacing w:before="20" w:after="20"/>
              <w:jc w:val="left"/>
            </w:pPr>
            <w:r>
              <w:rPr>
                <w:sz w:val="16"/>
              </w:rPr>
              <w:t>4 h</w:t>
            </w:r>
          </w:p>
        </w:tc>
        <w:tc>
          <w:tcPr>
            <w:tcW w:w="921" w:type="dxa"/>
          </w:tcPr>
          <w:p>
            <w:pPr>
              <w:pStyle w:val="Compact"/>
              <w:spacing w:before="20" w:after="20"/>
              <w:jc w:val="left"/>
            </w:pPr>
            <w:r>
              <w:rPr>
                <w:sz w:val="16"/>
              </w:rPr>
              <w:t>C2</w:t>
            </w:r>
          </w:p>
        </w:tc>
      </w:tr>
      <w:tr>
        <w:trPr>
          <w:cantSplit w:val="true"/>
        </w:trPr>
        <w:tc>
          <w:tcPr>
            <w:tcW w:w="520" w:type="dxa"/>
            <w:shd w:val="clear" w:color="auto" w:fill="EEF2F6"/>
          </w:tcPr>
          <w:p>
            <w:pPr>
              <w:pStyle w:val="Compact"/>
              <w:spacing w:before="20" w:after="20"/>
              <w:jc w:val="left"/>
            </w:pPr>
            <w:r>
              <w:rPr>
                <w:sz w:val="16"/>
              </w:rPr>
              <w:t>A8</w:t>
            </w:r>
          </w:p>
        </w:tc>
        <w:tc>
          <w:tcPr>
            <w:tcW w:w="2018" w:type="dxa"/>
            <w:shd w:val="clear" w:color="auto" w:fill="EEF2F6"/>
          </w:tcPr>
          <w:p>
            <w:pPr>
              <w:pStyle w:val="Compact"/>
              <w:spacing w:before="20" w:after="20"/>
              <w:jc w:val="left"/>
            </w:pPr>
            <w:r>
              <w:rPr>
                <w:sz w:val="16"/>
              </w:rPr>
              <w:t>Animation des webinaires</w:t>
            </w:r>
          </w:p>
        </w:tc>
        <w:tc>
          <w:tcPr>
            <w:tcW w:w="1020" w:type="dxa"/>
            <w:shd w:val="clear" w:color="auto" w:fill="EEF2F6"/>
          </w:tcPr>
          <w:p>
            <w:pPr>
              <w:pStyle w:val="Compact"/>
              <w:spacing w:before="20" w:after="20"/>
              <w:jc w:val="left"/>
            </w:pPr>
            <w:r>
              <w:rPr>
                <w:sz w:val="16"/>
              </w:rPr>
              <w:t>S5</w:t>
            </w:r>
          </w:p>
        </w:tc>
        <w:tc>
          <w:tcPr>
            <w:tcW w:w="1220" w:type="dxa"/>
            <w:shd w:val="clear" w:color="auto" w:fill="EEF2F6"/>
          </w:tcPr>
          <w:p>
            <w:pPr>
              <w:pStyle w:val="Compact"/>
              <w:spacing w:before="20" w:after="20"/>
              <w:jc w:val="left"/>
            </w:pPr>
            <w:r>
              <w:rPr>
                <w:sz w:val="16"/>
              </w:rPr>
              <w:t>Héritage</w:t>
            </w:r>
          </w:p>
        </w:tc>
        <w:tc>
          <w:tcPr>
            <w:tcW w:w="1552" w:type="dxa"/>
            <w:shd w:val="clear" w:color="auto" w:fill="EEF2F6"/>
          </w:tcPr>
          <w:p>
            <w:pPr>
              <w:pStyle w:val="Compact"/>
              <w:spacing w:before="20" w:after="20"/>
              <w:jc w:val="left"/>
            </w:pPr>
            <w:r>
              <w:rPr>
                <w:sz w:val="16"/>
              </w:rPr>
              <w:t>1 mois</w:t>
            </w:r>
          </w:p>
        </w:tc>
        <w:tc>
          <w:tcPr>
            <w:tcW w:w="620" w:type="dxa"/>
            <w:shd w:val="clear" w:color="auto" w:fill="EEF2F6"/>
          </w:tcPr>
          <w:p>
            <w:pPr>
              <w:pStyle w:val="Compact"/>
              <w:spacing w:before="20" w:after="20"/>
              <w:jc w:val="left"/>
            </w:pPr>
            <w:r>
              <w:rPr>
                <w:sz w:val="16"/>
              </w:rPr>
              <w:t>—</w:t>
            </w:r>
          </w:p>
        </w:tc>
        <w:tc>
          <w:tcPr>
            <w:tcW w:w="820" w:type="dxa"/>
            <w:shd w:val="clear" w:color="auto" w:fill="EEF2F6"/>
          </w:tcPr>
          <w:p>
            <w:pPr>
              <w:pStyle w:val="Compact"/>
              <w:spacing w:before="20" w:after="20"/>
              <w:jc w:val="left"/>
            </w:pPr>
            <w:r>
              <w:rPr>
                <w:sz w:val="16"/>
              </w:rPr>
              <w:t>—</w:t>
            </w:r>
          </w:p>
        </w:tc>
        <w:tc>
          <w:tcPr>
            <w:tcW w:w="720" w:type="dxa"/>
            <w:shd w:val="clear" w:color="auto" w:fill="EEF2F6"/>
          </w:tcPr>
          <w:p>
            <w:pPr>
              <w:pStyle w:val="Compact"/>
              <w:spacing w:before="20" w:after="20"/>
              <w:jc w:val="left"/>
            </w:pPr>
            <w:r>
              <w:rPr>
                <w:sz w:val="16"/>
              </w:rPr>
              <w:t>1 sem.</w:t>
            </w:r>
          </w:p>
        </w:tc>
        <w:tc>
          <w:tcPr>
            <w:tcW w:w="921" w:type="dxa"/>
            <w:shd w:val="clear" w:color="auto" w:fill="EEF2F6"/>
          </w:tcPr>
          <w:p>
            <w:pPr>
              <w:pStyle w:val="Compact"/>
              <w:spacing w:before="20" w:after="20"/>
              <w:jc w:val="left"/>
            </w:pPr>
            <w:r>
              <w:rPr>
                <w:sz w:val="16"/>
              </w:rPr>
              <w:t>—</w:t>
            </w:r>
          </w:p>
        </w:tc>
      </w:tr>
    </w:tbl>
    <w:p>
      <w:pPr>
        <w:keepNext/>
        <w:pStyle w:val="BodyText"/>
      </w:pPr>
      <w:r>
        <w:rPr>
          <w:bCs/>
          <w:b/>
        </w:rPr>
        <w:t>Modes dégradés</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44"/>
        <w:gridCol w:w="5948"/>
        <w:gridCol w:w="1278"/>
        <w:gridCol w:w="1641"/>
      </w:tblGrid>
      <w:tr>
        <w:trPr>
          <w:tblHeader w:val="true"/>
          <w:cantSplit w:val="true"/>
          <w:tblHeader w:val="true"/>
        </w:trPr>
        <w:tc>
          <w:tcPr>
            <w:tcW w:w="544" w:type="dxa"/>
            <w:shd w:val="clear" w:color="auto" w:fill="1F3A5F"/>
          </w:tcPr>
          <w:p>
            <w:pPr>
              <w:pStyle w:val="Compact"/>
              <w:spacing w:before="20" w:after="20"/>
              <w:jc w:val="left"/>
            </w:pPr>
            <w:r>
              <w:rPr>
                <w:b/>
                <w:color w:val="FFFFFF"/>
                <w:sz w:val="18"/>
              </w:rPr>
              <w:t>ID</w:t>
            </w:r>
          </w:p>
        </w:tc>
        <w:tc>
          <w:tcPr>
            <w:tcW w:w="5948" w:type="dxa"/>
            <w:shd w:val="clear" w:color="auto" w:fill="1F3A5F"/>
          </w:tcPr>
          <w:p>
            <w:pPr>
              <w:pStyle w:val="Compact"/>
              <w:spacing w:before="20" w:after="20"/>
              <w:jc w:val="left"/>
            </w:pPr>
            <w:r>
              <w:rPr>
                <w:b/>
                <w:color w:val="FFFFFF"/>
                <w:sz w:val="18"/>
              </w:rPr>
              <w:t>Mode dégradé</w:t>
            </w:r>
          </w:p>
        </w:tc>
        <w:tc>
          <w:tcPr>
            <w:tcW w:w="1278" w:type="dxa"/>
            <w:shd w:val="clear" w:color="auto" w:fill="1F3A5F"/>
          </w:tcPr>
          <w:p>
            <w:pPr>
              <w:pStyle w:val="Compact"/>
              <w:spacing w:before="20" w:after="20"/>
              <w:jc w:val="left"/>
            </w:pPr>
            <w:r>
              <w:rPr>
                <w:b/>
                <w:color w:val="FFFFFF"/>
                <w:sz w:val="18"/>
              </w:rPr>
              <w:t>Durée tenable</w:t>
            </w:r>
          </w:p>
        </w:tc>
        <w:tc>
          <w:tcPr>
            <w:tcW w:w="1641" w:type="dxa"/>
            <w:shd w:val="clear" w:color="auto" w:fill="1F3A5F"/>
          </w:tcPr>
          <w:p>
            <w:pPr>
              <w:pStyle w:val="Compact"/>
              <w:spacing w:before="20" w:after="20"/>
              <w:jc w:val="left"/>
            </w:pPr>
            <w:r>
              <w:rPr>
                <w:b/>
                <w:color w:val="FFFFFF"/>
                <w:sz w:val="18"/>
              </w:rPr>
              <w:t>Déjà pratiqué</w:t>
            </w:r>
          </w:p>
        </w:tc>
      </w:tr>
      <w:tr>
        <w:trPr>
          <w:cantSplit w:val="true"/>
        </w:trPr>
        <w:tc>
          <w:tcPr>
            <w:tcW w:w="544" w:type="dxa"/>
          </w:tcPr>
          <w:p>
            <w:pPr>
              <w:pStyle w:val="Compact"/>
              <w:spacing w:before="20" w:after="20"/>
              <w:jc w:val="left"/>
            </w:pPr>
            <w:r>
              <w:rPr>
                <w:sz w:val="18"/>
              </w:rPr>
              <w:t>A1</w:t>
            </w:r>
          </w:p>
        </w:tc>
        <w:tc>
          <w:tcPr>
            <w:tcW w:w="5948" w:type="dxa"/>
          </w:tcPr>
          <w:p>
            <w:pPr>
              <w:pStyle w:val="Compact"/>
              <w:spacing w:before="20" w:after="20"/>
              <w:jc w:val="left"/>
            </w:pPr>
            <w:r>
              <w:rPr>
                <w:sz w:val="18"/>
              </w:rPr>
              <w:t>Commandes par téléphone et courriel, saisies ensuite</w:t>
            </w:r>
          </w:p>
        </w:tc>
        <w:tc>
          <w:tcPr>
            <w:tcW w:w="1278" w:type="dxa"/>
          </w:tcPr>
          <w:p>
            <w:pPr>
              <w:pStyle w:val="Compact"/>
              <w:spacing w:before="20" w:after="20"/>
              <w:jc w:val="left"/>
            </w:pPr>
            <w:r>
              <w:rPr>
                <w:sz w:val="18"/>
              </w:rPr>
              <w:t>2 jours</w:t>
            </w:r>
          </w:p>
        </w:tc>
        <w:tc>
          <w:tcPr>
            <w:tcW w:w="1641" w:type="dxa"/>
          </w:tcPr>
          <w:p>
            <w:pPr>
              <w:pStyle w:val="Compact"/>
              <w:spacing w:before="20" w:after="20"/>
              <w:jc w:val="left"/>
            </w:pPr>
            <w:r>
              <w:rPr>
                <w:sz w:val="18"/>
              </w:rPr>
              <w:t>Non</w:t>
            </w:r>
          </w:p>
        </w:tc>
      </w:tr>
      <w:tr>
        <w:trPr>
          <w:cantSplit w:val="true"/>
        </w:trPr>
        <w:tc>
          <w:tcPr>
            <w:tcW w:w="544" w:type="dxa"/>
            <w:shd w:val="clear" w:color="auto" w:fill="EEF2F6"/>
          </w:tcPr>
          <w:p>
            <w:pPr>
              <w:pStyle w:val="Compact"/>
              <w:spacing w:before="20" w:after="20"/>
              <w:jc w:val="left"/>
            </w:pPr>
            <w:r>
              <w:rPr>
                <w:sz w:val="18"/>
              </w:rPr>
              <w:t>A2</w:t>
            </w:r>
          </w:p>
        </w:tc>
        <w:tc>
          <w:tcPr>
            <w:tcW w:w="5948" w:type="dxa"/>
            <w:shd w:val="clear" w:color="auto" w:fill="EEF2F6"/>
          </w:tcPr>
          <w:p>
            <w:pPr>
              <w:pStyle w:val="Compact"/>
              <w:spacing w:before="20" w:after="20"/>
              <w:jc w:val="left"/>
            </w:pPr>
            <w:r>
              <w:rPr>
                <w:sz w:val="18"/>
              </w:rPr>
              <w:t>Virement ou paiement différé pour les clients en compte</w:t>
            </w:r>
          </w:p>
        </w:tc>
        <w:tc>
          <w:tcPr>
            <w:tcW w:w="1278" w:type="dxa"/>
            <w:shd w:val="clear" w:color="auto" w:fill="EEF2F6"/>
          </w:tcPr>
          <w:p>
            <w:pPr>
              <w:pStyle w:val="Compact"/>
              <w:spacing w:before="20" w:after="20"/>
              <w:jc w:val="left"/>
            </w:pPr>
            <w:r>
              <w:rPr>
                <w:sz w:val="18"/>
              </w:rPr>
              <w:t>1 semaine</w:t>
            </w:r>
          </w:p>
        </w:tc>
        <w:tc>
          <w:tcPr>
            <w:tcW w:w="1641" w:type="dxa"/>
            <w:shd w:val="clear" w:color="auto" w:fill="EEF2F6"/>
          </w:tcPr>
          <w:p>
            <w:pPr>
              <w:pStyle w:val="Compact"/>
              <w:spacing w:before="20" w:after="20"/>
              <w:jc w:val="left"/>
            </w:pPr>
            <w:r>
              <w:rPr>
                <w:sz w:val="18"/>
              </w:rPr>
              <w:t>Oui (incident réel)</w:t>
            </w:r>
          </w:p>
        </w:tc>
      </w:tr>
      <w:tr>
        <w:trPr>
          <w:cantSplit w:val="true"/>
        </w:trPr>
        <w:tc>
          <w:tcPr>
            <w:tcW w:w="544" w:type="dxa"/>
          </w:tcPr>
          <w:p>
            <w:pPr>
              <w:pStyle w:val="Compact"/>
              <w:spacing w:before="20" w:after="20"/>
              <w:jc w:val="left"/>
            </w:pPr>
            <w:r>
              <w:rPr>
                <w:sz w:val="18"/>
              </w:rPr>
              <w:t>A3</w:t>
            </w:r>
          </w:p>
        </w:tc>
        <w:tc>
          <w:tcPr>
            <w:tcW w:w="5948" w:type="dxa"/>
          </w:tcPr>
          <w:p>
            <w:pPr>
              <w:pStyle w:val="Compact"/>
              <w:spacing w:before="20" w:after="20"/>
              <w:jc w:val="left"/>
            </w:pPr>
            <w:r>
              <w:rPr>
                <w:sz w:val="18"/>
              </w:rPr>
              <w:t>Gel des prix</w:t>
            </w:r>
          </w:p>
        </w:tc>
        <w:tc>
          <w:tcPr>
            <w:tcW w:w="1278" w:type="dxa"/>
          </w:tcPr>
          <w:p>
            <w:pPr>
              <w:pStyle w:val="Compact"/>
              <w:spacing w:before="20" w:after="20"/>
              <w:jc w:val="left"/>
            </w:pPr>
            <w:r>
              <w:rPr>
                <w:sz w:val="18"/>
              </w:rPr>
              <w:t>2 semaines</w:t>
            </w:r>
          </w:p>
        </w:tc>
        <w:tc>
          <w:tcPr>
            <w:tcW w:w="1641" w:type="dxa"/>
          </w:tcPr>
          <w:p>
            <w:pPr>
              <w:pStyle w:val="Compact"/>
              <w:spacing w:before="20" w:after="20"/>
              <w:jc w:val="left"/>
            </w:pPr>
            <w:r>
              <w:rPr>
                <w:sz w:val="18"/>
              </w:rPr>
              <w:t>Non</w:t>
            </w:r>
          </w:p>
        </w:tc>
      </w:tr>
      <w:tr>
        <w:trPr>
          <w:cantSplit w:val="true"/>
        </w:trPr>
        <w:tc>
          <w:tcPr>
            <w:tcW w:w="544" w:type="dxa"/>
            <w:shd w:val="clear" w:color="auto" w:fill="EEF2F6"/>
          </w:tcPr>
          <w:p>
            <w:pPr>
              <w:pStyle w:val="Compact"/>
              <w:spacing w:before="20" w:after="20"/>
              <w:jc w:val="left"/>
            </w:pPr>
            <w:r>
              <w:rPr>
                <w:sz w:val="18"/>
              </w:rPr>
              <w:t>A4</w:t>
            </w:r>
          </w:p>
        </w:tc>
        <w:tc>
          <w:tcPr>
            <w:tcW w:w="5948" w:type="dxa"/>
            <w:shd w:val="clear" w:color="auto" w:fill="EEF2F6"/>
          </w:tcPr>
          <w:p>
            <w:pPr>
              <w:pStyle w:val="Compact"/>
              <w:spacing w:before="20" w:after="20"/>
              <w:jc w:val="left"/>
            </w:pPr>
            <w:r>
              <w:rPr>
                <w:sz w:val="18"/>
              </w:rPr>
              <w:t>Renvoi des appels vers des mobiles</w:t>
            </w:r>
          </w:p>
        </w:tc>
        <w:tc>
          <w:tcPr>
            <w:tcW w:w="1278" w:type="dxa"/>
            <w:shd w:val="clear" w:color="auto" w:fill="EEF2F6"/>
          </w:tcPr>
          <w:p>
            <w:pPr>
              <w:pStyle w:val="Compact"/>
              <w:spacing w:before="20" w:after="20"/>
              <w:jc w:val="left"/>
            </w:pPr>
            <w:r>
              <w:rPr>
                <w:sz w:val="18"/>
              </w:rPr>
              <w:t>1 semaine</w:t>
            </w:r>
          </w:p>
        </w:tc>
        <w:tc>
          <w:tcPr>
            <w:tcW w:w="1641" w:type="dxa"/>
            <w:shd w:val="clear" w:color="auto" w:fill="EEF2F6"/>
          </w:tcPr>
          <w:p>
            <w:pPr>
              <w:pStyle w:val="Compact"/>
              <w:spacing w:before="20" w:after="20"/>
              <w:jc w:val="left"/>
            </w:pPr>
            <w:r>
              <w:rPr>
                <w:sz w:val="18"/>
              </w:rPr>
              <w:t>Oui (exercice)</w:t>
            </w:r>
          </w:p>
        </w:tc>
      </w:tr>
      <w:tr>
        <w:trPr>
          <w:cantSplit w:val="true"/>
        </w:trPr>
        <w:tc>
          <w:tcPr>
            <w:tcW w:w="544" w:type="dxa"/>
          </w:tcPr>
          <w:p>
            <w:pPr>
              <w:pStyle w:val="Compact"/>
              <w:spacing w:before="20" w:after="20"/>
              <w:jc w:val="left"/>
            </w:pPr>
            <w:r>
              <w:rPr>
                <w:sz w:val="18"/>
              </w:rPr>
              <w:t>A5</w:t>
            </w:r>
          </w:p>
        </w:tc>
        <w:tc>
          <w:tcPr>
            <w:tcW w:w="5948" w:type="dxa"/>
          </w:tcPr>
          <w:p>
            <w:pPr>
              <w:pStyle w:val="Compact"/>
              <w:spacing w:before="20" w:after="20"/>
              <w:jc w:val="left"/>
            </w:pPr>
            <w:r>
              <w:rPr>
                <w:sz w:val="18"/>
              </w:rPr>
              <w:t>Bons de préparation papier</w:t>
            </w:r>
          </w:p>
        </w:tc>
        <w:tc>
          <w:tcPr>
            <w:tcW w:w="1278" w:type="dxa"/>
          </w:tcPr>
          <w:p>
            <w:pPr>
              <w:pStyle w:val="Compact"/>
              <w:spacing w:before="20" w:after="20"/>
              <w:jc w:val="left"/>
            </w:pPr>
            <w:r>
              <w:rPr>
                <w:sz w:val="18"/>
              </w:rPr>
              <w:t>3 jours</w:t>
            </w:r>
          </w:p>
        </w:tc>
        <w:tc>
          <w:tcPr>
            <w:tcW w:w="1641" w:type="dxa"/>
          </w:tcPr>
          <w:p>
            <w:pPr>
              <w:pStyle w:val="Compact"/>
              <w:spacing w:before="20" w:after="20"/>
              <w:jc w:val="left"/>
            </w:pPr>
            <w:r>
              <w:rPr>
                <w:sz w:val="18"/>
              </w:rPr>
              <w:t>Non</w:t>
            </w:r>
          </w:p>
        </w:tc>
      </w:tr>
      <w:tr>
        <w:trPr>
          <w:cantSplit w:val="true"/>
        </w:trPr>
        <w:tc>
          <w:tcPr>
            <w:tcW w:w="544" w:type="dxa"/>
            <w:shd w:val="clear" w:color="auto" w:fill="EEF2F6"/>
          </w:tcPr>
          <w:p>
            <w:pPr>
              <w:pStyle w:val="Compact"/>
              <w:spacing w:before="20" w:after="20"/>
              <w:jc w:val="left"/>
            </w:pPr>
            <w:r>
              <w:rPr>
                <w:sz w:val="18"/>
              </w:rPr>
              <w:t>A6</w:t>
            </w:r>
          </w:p>
        </w:tc>
        <w:tc>
          <w:tcPr>
            <w:tcW w:w="5948" w:type="dxa"/>
            <w:shd w:val="clear" w:color="auto" w:fill="EEF2F6"/>
          </w:tcPr>
          <w:p>
            <w:pPr>
              <w:pStyle w:val="Compact"/>
              <w:spacing w:before="20" w:after="20"/>
              <w:jc w:val="left"/>
            </w:pPr>
            <w:r>
              <w:rPr>
                <w:sz w:val="18"/>
              </w:rPr>
              <w:t>Factures manuelles pour les contrats cadres</w:t>
            </w:r>
          </w:p>
        </w:tc>
        <w:tc>
          <w:tcPr>
            <w:tcW w:w="1278" w:type="dxa"/>
            <w:shd w:val="clear" w:color="auto" w:fill="EEF2F6"/>
          </w:tcPr>
          <w:p>
            <w:pPr>
              <w:pStyle w:val="Compact"/>
              <w:spacing w:before="20" w:after="20"/>
              <w:jc w:val="left"/>
            </w:pPr>
            <w:r>
              <w:rPr>
                <w:sz w:val="18"/>
              </w:rPr>
              <w:t>1 semaine</w:t>
            </w:r>
          </w:p>
        </w:tc>
        <w:tc>
          <w:tcPr>
            <w:tcW w:w="1641" w:type="dxa"/>
            <w:shd w:val="clear" w:color="auto" w:fill="EEF2F6"/>
          </w:tcPr>
          <w:p>
            <w:pPr>
              <w:pStyle w:val="Compact"/>
              <w:spacing w:before="20" w:after="20"/>
              <w:jc w:val="left"/>
            </w:pPr>
            <w:r>
              <w:rPr>
                <w:sz w:val="18"/>
              </w:rPr>
              <w:t>Non</w:t>
            </w:r>
          </w:p>
        </w:tc>
      </w:tr>
      <w:tr>
        <w:trPr>
          <w:cantSplit w:val="true"/>
        </w:trPr>
        <w:tc>
          <w:tcPr>
            <w:tcW w:w="544" w:type="dxa"/>
          </w:tcPr>
          <w:p>
            <w:pPr>
              <w:pStyle w:val="Compact"/>
              <w:spacing w:before="20" w:after="20"/>
              <w:jc w:val="left"/>
            </w:pPr>
            <w:r>
              <w:rPr>
                <w:sz w:val="18"/>
              </w:rPr>
              <w:t>A7</w:t>
            </w:r>
          </w:p>
        </w:tc>
        <w:tc>
          <w:tcPr>
            <w:tcW w:w="5948" w:type="dxa"/>
          </w:tcPr>
          <w:p>
            <w:pPr>
              <w:pStyle w:val="Compact"/>
              <w:spacing w:before="20" w:after="20"/>
              <w:jc w:val="left"/>
            </w:pPr>
            <w:r>
              <w:rPr>
                <w:sz w:val="18"/>
              </w:rPr>
              <w:t>Plafond de commande sans contrôle pour les clients connus</w:t>
            </w:r>
          </w:p>
        </w:tc>
        <w:tc>
          <w:tcPr>
            <w:tcW w:w="1278" w:type="dxa"/>
          </w:tcPr>
          <w:p>
            <w:pPr>
              <w:pStyle w:val="Compact"/>
              <w:spacing w:before="20" w:after="20"/>
              <w:jc w:val="left"/>
            </w:pPr>
            <w:r>
              <w:rPr>
                <w:sz w:val="18"/>
              </w:rPr>
              <w:t>2 jours</w:t>
            </w:r>
          </w:p>
        </w:tc>
        <w:tc>
          <w:tcPr>
            <w:tcW w:w="1641" w:type="dxa"/>
          </w:tcPr>
          <w:p>
            <w:pPr>
              <w:pStyle w:val="Compact"/>
              <w:spacing w:before="20" w:after="20"/>
              <w:jc w:val="left"/>
            </w:pPr>
            <w:r>
              <w:rPr>
                <w:sz w:val="18"/>
              </w:rPr>
              <w:t>Non</w:t>
            </w:r>
          </w:p>
        </w:tc>
      </w:tr>
    </w:tbl>
    <w:p>
      <w:pPr>
        <w:pStyle w:val="BodyText"/>
      </w:pPr>
      <w:r>
        <w:rPr>
          <w:bCs/>
          <w:b/>
        </w:rPr>
        <w:t>Contrôles</w:t>
      </w:r>
    </w:p>
    <w:p>
      <w:pPr>
        <w:numPr>
          <w:ilvl w:val="0"/>
          <w:numId w:val="1005"/>
        </w:numPr>
        <w:pStyle w:val="Compact"/>
      </w:pPr>
      <w:r>
        <w:rPr>
          <w:bCs/>
          <w:b/>
        </w:rPr>
        <w:t>C1</w:t>
      </w:r>
      <w:r>
        <w:t xml:space="preserve"> </w:t>
      </w:r>
      <w:r>
        <w:t>: A3 (catalogue, 3 j) dépasse la DMIA de S1 (1 j). Justifié : le catalogue reste en ligne et les ventes continuent ; seule sa mise à jour s’arrête. Justification consignée.</w:t>
      </w:r>
    </w:p>
    <w:p>
      <w:pPr>
        <w:numPr>
          <w:ilvl w:val="0"/>
          <w:numId w:val="1005"/>
        </w:numPr>
        <w:pStyle w:val="Compact"/>
      </w:pPr>
      <w:r>
        <w:rPr>
          <w:bCs/>
          <w:b/>
        </w:rPr>
        <w:t>C2</w:t>
      </w:r>
      <w:r>
        <w:t xml:space="preserve"> </w:t>
      </w:r>
      <w:r>
        <w:t>: A7 avait été déclarée avec une DMIA d’une semaine, comme une activité de gestion. Or aucune commande d’un client professionnel n’est acceptée sans contrôle de son encours : A7 alimente A1 sans tampon. Après échange avec le responsable, la DMIA est ramenée à un jour. À l’inverse, l’approvisionnement de l’entrepôt, protégé par deux semaines de stock, n’a pas été rattaché à A5 comme activité amont critique.</w:t>
      </w:r>
    </w:p>
    <w:p>
      <w:pPr>
        <w:numPr>
          <w:ilvl w:val="0"/>
          <w:numId w:val="1005"/>
        </w:numPr>
        <w:pStyle w:val="Compact"/>
      </w:pPr>
      <w:r>
        <w:rPr>
          <w:bCs/>
          <w:b/>
        </w:rPr>
        <w:t>C3</w:t>
      </w:r>
      <w:r>
        <w:t xml:space="preserve"> </w:t>
      </w:r>
      <w:r>
        <w:t>: ratios conformes. Pour A1, temps de rattrapage déclaré de 4 h, pour une marge de 16 h.</w:t>
      </w:r>
    </w:p>
    <w:p>
      <w:pPr>
        <w:pStyle w:val="FirstParagraph"/>
      </w:pPr>
      <w:r>
        <w:rPr>
          <w:bCs/>
          <w:b/>
        </w:rPr>
        <w:t>Répartition</w:t>
      </w:r>
      <w:r>
        <w:t xml:space="preserve"> </w:t>
      </w:r>
      <w:r>
        <w:t>: aucune activité en C1 ; 5 activités sur 7 analysées en C2 (71 %). Le contrôle du §7.2 porte sur la classe la plus exigeante utilisée, ici C2, et dépasse le seuil d’un tiers. Il a été examiné avec le commanditaire : l’entreprise vend en ligne, et une interruption d’un jour en fin de trimestre y est effectivement grave. Grille maintenue, décision consignée.</w:t>
      </w:r>
    </w:p>
    <w:bookmarkEnd w:id="66"/>
    <w:bookmarkStart w:id="67" w:name="d.4-registre-des-ressources-extrait"/>
    <w:p>
      <w:pPr>
        <w:keepNext/>
        <w:pStyle w:val="Heading3"/>
      </w:pPr>
      <w:r>
        <w:t>D.4 Registre des ressources (extrait)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20"/>
        <w:gridCol w:w="2032"/>
        <w:gridCol w:w="1120"/>
        <w:gridCol w:w="1132"/>
        <w:gridCol w:w="1594"/>
        <w:gridCol w:w="1220"/>
        <w:gridCol w:w="1793"/>
      </w:tblGrid>
      <w:tr>
        <w:trPr>
          <w:tblHeader w:val="true"/>
          <w:cantSplit w:val="true"/>
          <w:tblHeader w:val="true"/>
        </w:trPr>
        <w:tc>
          <w:tcPr>
            <w:tcW w:w="520" w:type="dxa"/>
            <w:shd w:val="clear" w:color="auto" w:fill="1F3A5F"/>
          </w:tcPr>
          <w:p>
            <w:pPr>
              <w:pStyle w:val="Compact"/>
              <w:spacing w:before="20" w:after="20"/>
              <w:jc w:val="left"/>
            </w:pPr>
            <w:r>
              <w:rPr>
                <w:b/>
                <w:color w:val="FFFFFF"/>
                <w:sz w:val="16"/>
              </w:rPr>
              <w:t>ID</w:t>
            </w:r>
          </w:p>
        </w:tc>
        <w:tc>
          <w:tcPr>
            <w:tcW w:w="2032" w:type="dxa"/>
            <w:shd w:val="clear" w:color="auto" w:fill="1F3A5F"/>
          </w:tcPr>
          <w:p>
            <w:pPr>
              <w:pStyle w:val="Compact"/>
              <w:spacing w:before="20" w:after="20"/>
              <w:jc w:val="left"/>
            </w:pPr>
            <w:r>
              <w:rPr>
                <w:b/>
                <w:color w:val="FFFFFF"/>
                <w:sz w:val="16"/>
              </w:rPr>
              <w:t>Ressource</w:t>
            </w:r>
          </w:p>
        </w:tc>
        <w:tc>
          <w:tcPr>
            <w:tcW w:w="1120" w:type="dxa"/>
            <w:shd w:val="clear" w:color="auto" w:fill="1F3A5F"/>
          </w:tcPr>
          <w:p>
            <w:pPr>
              <w:pStyle w:val="Compact"/>
              <w:spacing w:before="20" w:after="20"/>
              <w:jc w:val="left"/>
            </w:pPr>
            <w:r>
              <w:rPr>
                <w:b/>
                <w:color w:val="FFFFFF"/>
                <w:sz w:val="16"/>
              </w:rPr>
              <w:t>Utilisée par</w:t>
            </w:r>
          </w:p>
        </w:tc>
        <w:tc>
          <w:tcPr>
            <w:tcW w:w="1132" w:type="dxa"/>
            <w:shd w:val="clear" w:color="auto" w:fill="1F3A5F"/>
          </w:tcPr>
          <w:p>
            <w:pPr>
              <w:pStyle w:val="Compact"/>
              <w:spacing w:before="20" w:after="20"/>
              <w:jc w:val="left"/>
            </w:pPr>
            <w:r>
              <w:rPr>
                <w:b/>
                <w:color w:val="FFFFFF"/>
                <w:sz w:val="16"/>
              </w:rPr>
              <w:t>Exigence</w:t>
            </w:r>
          </w:p>
        </w:tc>
        <w:tc>
          <w:tcPr>
            <w:tcW w:w="1594" w:type="dxa"/>
            <w:shd w:val="clear" w:color="auto" w:fill="1F3A5F"/>
          </w:tcPr>
          <w:p>
            <w:pPr>
              <w:pStyle w:val="Compact"/>
              <w:spacing w:before="20" w:after="20"/>
              <w:jc w:val="left"/>
            </w:pPr>
            <w:r>
              <w:rPr>
                <w:b/>
                <w:color w:val="FFFFFF"/>
                <w:sz w:val="16"/>
              </w:rPr>
              <w:t>Capacité constatée (source)</w:t>
            </w:r>
          </w:p>
        </w:tc>
        <w:tc>
          <w:tcPr>
            <w:tcW w:w="1220" w:type="dxa"/>
            <w:shd w:val="clear" w:color="auto" w:fill="1F3A5F"/>
          </w:tcPr>
          <w:p>
            <w:pPr>
              <w:pStyle w:val="Compact"/>
              <w:spacing w:before="20" w:after="20"/>
              <w:jc w:val="left"/>
            </w:pPr>
            <w:r>
              <w:rPr>
                <w:b/>
                <w:color w:val="FFFFFF"/>
                <w:sz w:val="16"/>
              </w:rPr>
              <w:t>Rechange</w:t>
            </w:r>
          </w:p>
        </w:tc>
        <w:tc>
          <w:tcPr>
            <w:tcW w:w="1793" w:type="dxa"/>
            <w:shd w:val="clear" w:color="auto" w:fill="1F3A5F"/>
          </w:tcPr>
          <w:p>
            <w:pPr>
              <w:pStyle w:val="Compact"/>
              <w:spacing w:before="20" w:after="20"/>
              <w:jc w:val="left"/>
            </w:pPr>
            <w:r>
              <w:rPr>
                <w:b/>
                <w:color w:val="FFFFFF"/>
                <w:sz w:val="16"/>
              </w:rPr>
              <w:t>Résultat</w:t>
            </w:r>
          </w:p>
        </w:tc>
      </w:tr>
      <w:tr>
        <w:trPr>
          <w:cantSplit w:val="true"/>
        </w:trPr>
        <w:tc>
          <w:tcPr>
            <w:tcW w:w="520" w:type="dxa"/>
          </w:tcPr>
          <w:p>
            <w:pPr>
              <w:pStyle w:val="Compact"/>
              <w:spacing w:before="20" w:after="20"/>
              <w:jc w:val="left"/>
            </w:pPr>
            <w:r>
              <w:rPr>
                <w:sz w:val="16"/>
              </w:rPr>
              <w:t>R1</w:t>
            </w:r>
          </w:p>
        </w:tc>
        <w:tc>
          <w:tcPr>
            <w:tcW w:w="2032" w:type="dxa"/>
          </w:tcPr>
          <w:p>
            <w:pPr>
              <w:pStyle w:val="Compact"/>
              <w:spacing w:before="20" w:after="20"/>
              <w:jc w:val="left"/>
            </w:pPr>
            <w:r>
              <w:rPr>
                <w:sz w:val="16"/>
              </w:rPr>
              <w:t>Plateforme de vente en ligne (cloud)</w:t>
            </w:r>
          </w:p>
        </w:tc>
        <w:tc>
          <w:tcPr>
            <w:tcW w:w="1120" w:type="dxa"/>
          </w:tcPr>
          <w:p>
            <w:pPr>
              <w:pStyle w:val="Compact"/>
              <w:spacing w:before="20" w:after="20"/>
              <w:jc w:val="left"/>
            </w:pPr>
            <w:r>
              <w:rPr>
                <w:sz w:val="16"/>
              </w:rPr>
              <w:t>A1, A3</w:t>
            </w:r>
          </w:p>
        </w:tc>
        <w:tc>
          <w:tcPr>
            <w:tcW w:w="1132" w:type="dxa"/>
          </w:tcPr>
          <w:p>
            <w:pPr>
              <w:pStyle w:val="Compact"/>
              <w:spacing w:before="20" w:after="20"/>
              <w:jc w:val="left"/>
            </w:pPr>
            <w:r>
              <w:rPr>
                <w:sz w:val="16"/>
              </w:rPr>
              <w:t>RTO 8 h, PRD 1 h</w:t>
            </w:r>
          </w:p>
        </w:tc>
        <w:tc>
          <w:tcPr>
            <w:tcW w:w="1594" w:type="dxa"/>
          </w:tcPr>
          <w:p>
            <w:pPr>
              <w:pStyle w:val="Compact"/>
              <w:spacing w:before="20" w:after="20"/>
              <w:jc w:val="left"/>
            </w:pPr>
            <w:r>
              <w:rPr>
                <w:sz w:val="16"/>
              </w:rPr>
              <w:t>4 h, PRD 15 min (contrat, non testé)</w:t>
            </w:r>
          </w:p>
        </w:tc>
        <w:tc>
          <w:tcPr>
            <w:tcW w:w="1220" w:type="dxa"/>
          </w:tcPr>
          <w:p>
            <w:pPr>
              <w:pStyle w:val="Compact"/>
              <w:spacing w:before="20" w:after="20"/>
              <w:jc w:val="left"/>
            </w:pPr>
            <w:r>
              <w:rPr>
                <w:sz w:val="16"/>
              </w:rPr>
              <w:t>Non</w:t>
            </w:r>
          </w:p>
        </w:tc>
        <w:tc>
          <w:tcPr>
            <w:tcW w:w="1793" w:type="dxa"/>
          </w:tcPr>
          <w:p>
            <w:pPr>
              <w:pStyle w:val="Compact"/>
              <w:spacing w:before="20" w:after="20"/>
              <w:jc w:val="left"/>
            </w:pPr>
            <w:r>
              <w:rPr>
                <w:sz w:val="16"/>
              </w:rPr>
              <w:t>Conforme —</w:t>
            </w:r>
            <w:r>
              <w:rPr>
                <w:sz w:val="16"/>
              </w:rPr>
              <w:t xml:space="preserve"> </w:t>
            </w:r>
            <w:r>
              <w:rPr>
                <w:bCs/>
                <w:b/>
                <w:sz w:val="16"/>
              </w:rPr>
              <w:t>point de concentration</w:t>
            </w:r>
          </w:p>
        </w:tc>
      </w:tr>
      <w:tr>
        <w:trPr>
          <w:cantSplit w:val="true"/>
        </w:trPr>
        <w:tc>
          <w:tcPr>
            <w:tcW w:w="520" w:type="dxa"/>
            <w:shd w:val="clear" w:color="auto" w:fill="EEF2F6"/>
          </w:tcPr>
          <w:p>
            <w:pPr>
              <w:pStyle w:val="Compact"/>
              <w:spacing w:before="20" w:after="20"/>
              <w:jc w:val="left"/>
            </w:pPr>
            <w:r>
              <w:rPr>
                <w:sz w:val="16"/>
              </w:rPr>
              <w:t>R2</w:t>
            </w:r>
          </w:p>
        </w:tc>
        <w:tc>
          <w:tcPr>
            <w:tcW w:w="2032" w:type="dxa"/>
            <w:shd w:val="clear" w:color="auto" w:fill="EEF2F6"/>
          </w:tcPr>
          <w:p>
            <w:pPr>
              <w:pStyle w:val="Compact"/>
              <w:spacing w:before="20" w:after="20"/>
              <w:jc w:val="left"/>
            </w:pPr>
            <w:r>
              <w:rPr>
                <w:sz w:val="16"/>
              </w:rPr>
              <w:t>Prestataire de paiement</w:t>
            </w:r>
          </w:p>
        </w:tc>
        <w:tc>
          <w:tcPr>
            <w:tcW w:w="1120" w:type="dxa"/>
            <w:shd w:val="clear" w:color="auto" w:fill="EEF2F6"/>
          </w:tcPr>
          <w:p>
            <w:pPr>
              <w:pStyle w:val="Compact"/>
              <w:spacing w:before="20" w:after="20"/>
              <w:jc w:val="left"/>
            </w:pPr>
            <w:r>
              <w:rPr>
                <w:sz w:val="16"/>
              </w:rPr>
              <w:t>A2</w:t>
            </w:r>
          </w:p>
        </w:tc>
        <w:tc>
          <w:tcPr>
            <w:tcW w:w="1132" w:type="dxa"/>
            <w:shd w:val="clear" w:color="auto" w:fill="EEF2F6"/>
          </w:tcPr>
          <w:p>
            <w:pPr>
              <w:pStyle w:val="Compact"/>
              <w:spacing w:before="20" w:after="20"/>
              <w:jc w:val="left"/>
            </w:pPr>
            <w:r>
              <w:rPr>
                <w:sz w:val="16"/>
              </w:rPr>
              <w:t>RTO 8 h</w:t>
            </w:r>
          </w:p>
        </w:tc>
        <w:tc>
          <w:tcPr>
            <w:tcW w:w="1594" w:type="dxa"/>
            <w:shd w:val="clear" w:color="auto" w:fill="EEF2F6"/>
          </w:tcPr>
          <w:p>
            <w:pPr>
              <w:pStyle w:val="Compact"/>
              <w:spacing w:before="20" w:after="20"/>
              <w:jc w:val="left"/>
            </w:pPr>
            <w:r>
              <w:rPr>
                <w:sz w:val="16"/>
              </w:rPr>
              <w:t>Inconnue (aucune clause de continuité)</w:t>
            </w:r>
          </w:p>
        </w:tc>
        <w:tc>
          <w:tcPr>
            <w:tcW w:w="1220" w:type="dxa"/>
            <w:shd w:val="clear" w:color="auto" w:fill="EEF2F6"/>
          </w:tcPr>
          <w:p>
            <w:pPr>
              <w:pStyle w:val="Compact"/>
              <w:spacing w:before="20" w:after="20"/>
              <w:jc w:val="left"/>
            </w:pPr>
            <w:r>
              <w:rPr>
                <w:sz w:val="16"/>
              </w:rPr>
              <w:t>Non</w:t>
            </w:r>
          </w:p>
        </w:tc>
        <w:tc>
          <w:tcPr>
            <w:tcW w:w="1793" w:type="dxa"/>
            <w:shd w:val="clear" w:color="auto" w:fill="EEF2F6"/>
          </w:tcPr>
          <w:p>
            <w:pPr>
              <w:pStyle w:val="Compact"/>
              <w:spacing w:before="20" w:after="20"/>
              <w:jc w:val="left"/>
            </w:pPr>
            <w:r>
              <w:rPr>
                <w:bCs/>
                <w:b/>
                <w:sz w:val="16"/>
              </w:rPr>
              <w:t>Inconnue</w:t>
            </w:r>
          </w:p>
        </w:tc>
      </w:tr>
      <w:tr>
        <w:trPr>
          <w:cantSplit w:val="true"/>
        </w:trPr>
        <w:tc>
          <w:tcPr>
            <w:tcW w:w="520" w:type="dxa"/>
          </w:tcPr>
          <w:p>
            <w:pPr>
              <w:pStyle w:val="Compact"/>
              <w:spacing w:before="20" w:after="20"/>
              <w:jc w:val="left"/>
            </w:pPr>
            <w:r>
              <w:rPr>
                <w:sz w:val="16"/>
              </w:rPr>
              <w:t>R3</w:t>
            </w:r>
          </w:p>
        </w:tc>
        <w:tc>
          <w:tcPr>
            <w:tcW w:w="2032" w:type="dxa"/>
          </w:tcPr>
          <w:p>
            <w:pPr>
              <w:pStyle w:val="Compact"/>
              <w:spacing w:before="20" w:after="20"/>
              <w:jc w:val="left"/>
            </w:pPr>
            <w:r>
              <w:rPr>
                <w:sz w:val="16"/>
              </w:rPr>
              <w:t>ERP (site principal)</w:t>
            </w:r>
          </w:p>
        </w:tc>
        <w:tc>
          <w:tcPr>
            <w:tcW w:w="1120" w:type="dxa"/>
          </w:tcPr>
          <w:p>
            <w:pPr>
              <w:pStyle w:val="Compact"/>
              <w:spacing w:before="20" w:after="20"/>
              <w:jc w:val="left"/>
            </w:pPr>
            <w:r>
              <w:rPr>
                <w:sz w:val="16"/>
              </w:rPr>
              <w:t>A1, A5, A6, A7</w:t>
            </w:r>
          </w:p>
        </w:tc>
        <w:tc>
          <w:tcPr>
            <w:tcW w:w="1132" w:type="dxa"/>
          </w:tcPr>
          <w:p>
            <w:pPr>
              <w:pStyle w:val="Compact"/>
              <w:spacing w:before="20" w:after="20"/>
              <w:jc w:val="left"/>
            </w:pPr>
            <w:r>
              <w:rPr>
                <w:sz w:val="16"/>
              </w:rPr>
              <w:t>RTO 8 h, PRD 1 h</w:t>
            </w:r>
          </w:p>
        </w:tc>
        <w:tc>
          <w:tcPr>
            <w:tcW w:w="1594" w:type="dxa"/>
          </w:tcPr>
          <w:p>
            <w:pPr>
              <w:pStyle w:val="Compact"/>
              <w:spacing w:before="20" w:after="20"/>
              <w:jc w:val="left"/>
            </w:pPr>
            <w:r>
              <w:rPr>
                <w:sz w:val="16"/>
              </w:rPr>
              <w:t>36 h, PRD 24 h (exercice 2026)</w:t>
            </w:r>
          </w:p>
        </w:tc>
        <w:tc>
          <w:tcPr>
            <w:tcW w:w="1220" w:type="dxa"/>
          </w:tcPr>
          <w:p>
            <w:pPr>
              <w:pStyle w:val="Compact"/>
              <w:spacing w:before="20" w:after="20"/>
              <w:jc w:val="left"/>
            </w:pPr>
            <w:r>
              <w:rPr>
                <w:sz w:val="16"/>
              </w:rPr>
              <w:t>Non</w:t>
            </w:r>
          </w:p>
        </w:tc>
        <w:tc>
          <w:tcPr>
            <w:tcW w:w="1793" w:type="dxa"/>
          </w:tcPr>
          <w:p>
            <w:pPr>
              <w:pStyle w:val="Compact"/>
              <w:spacing w:before="20" w:after="20"/>
              <w:jc w:val="left"/>
            </w:pPr>
            <w:r>
              <w:rPr>
                <w:bCs/>
                <w:b/>
                <w:sz w:val="16"/>
              </w:rPr>
              <w:t>Écart</w:t>
            </w:r>
            <w:r>
              <w:rPr>
                <w:sz w:val="16"/>
              </w:rPr>
              <w:t xml:space="preserve"> </w:t>
            </w:r>
            <w:r>
              <w:rPr>
                <w:sz w:val="16"/>
              </w:rPr>
              <w:t>(délai et perte de données) —</w:t>
            </w:r>
            <w:r>
              <w:rPr>
                <w:sz w:val="16"/>
              </w:rPr>
              <w:t xml:space="preserve"> </w:t>
            </w:r>
            <w:r>
              <w:rPr>
                <w:bCs/>
                <w:b/>
                <w:sz w:val="16"/>
              </w:rPr>
              <w:t>point de concentration</w:t>
            </w:r>
          </w:p>
        </w:tc>
      </w:tr>
      <w:tr>
        <w:trPr>
          <w:cantSplit w:val="true"/>
        </w:trPr>
        <w:tc>
          <w:tcPr>
            <w:tcW w:w="520" w:type="dxa"/>
            <w:shd w:val="clear" w:color="auto" w:fill="EEF2F6"/>
          </w:tcPr>
          <w:p>
            <w:pPr>
              <w:pStyle w:val="Compact"/>
              <w:spacing w:before="20" w:after="20"/>
              <w:jc w:val="left"/>
            </w:pPr>
            <w:r>
              <w:rPr>
                <w:sz w:val="16"/>
              </w:rPr>
              <w:t>R4</w:t>
            </w:r>
          </w:p>
        </w:tc>
        <w:tc>
          <w:tcPr>
            <w:tcW w:w="2032" w:type="dxa"/>
            <w:shd w:val="clear" w:color="auto" w:fill="EEF2F6"/>
          </w:tcPr>
          <w:p>
            <w:pPr>
              <w:pStyle w:val="Compact"/>
              <w:spacing w:before="20" w:after="20"/>
              <w:jc w:val="left"/>
            </w:pPr>
            <w:r>
              <w:rPr>
                <w:sz w:val="16"/>
              </w:rPr>
              <w:t>Annuaire et identités</w:t>
            </w:r>
          </w:p>
        </w:tc>
        <w:tc>
          <w:tcPr>
            <w:tcW w:w="1120" w:type="dxa"/>
            <w:shd w:val="clear" w:color="auto" w:fill="EEF2F6"/>
          </w:tcPr>
          <w:p>
            <w:pPr>
              <w:pStyle w:val="Compact"/>
              <w:spacing w:before="20" w:after="20"/>
              <w:jc w:val="left"/>
            </w:pPr>
            <w:r>
              <w:rPr>
                <w:sz w:val="16"/>
              </w:rPr>
              <w:t>A1, A3 à A7</w:t>
            </w:r>
          </w:p>
        </w:tc>
        <w:tc>
          <w:tcPr>
            <w:tcW w:w="1132" w:type="dxa"/>
            <w:shd w:val="clear" w:color="auto" w:fill="EEF2F6"/>
          </w:tcPr>
          <w:p>
            <w:pPr>
              <w:pStyle w:val="Compact"/>
              <w:spacing w:before="20" w:after="20"/>
              <w:jc w:val="left"/>
            </w:pPr>
            <w:r>
              <w:rPr>
                <w:sz w:val="16"/>
              </w:rPr>
              <w:t>RTO 8 h</w:t>
            </w:r>
          </w:p>
        </w:tc>
        <w:tc>
          <w:tcPr>
            <w:tcW w:w="1594" w:type="dxa"/>
            <w:shd w:val="clear" w:color="auto" w:fill="EEF2F6"/>
          </w:tcPr>
          <w:p>
            <w:pPr>
              <w:pStyle w:val="Compact"/>
              <w:spacing w:before="20" w:after="20"/>
              <w:jc w:val="left"/>
            </w:pPr>
            <w:r>
              <w:rPr>
                <w:sz w:val="16"/>
              </w:rPr>
              <w:t>Inconnue (non testé en scénario cyber)</w:t>
            </w:r>
          </w:p>
        </w:tc>
        <w:tc>
          <w:tcPr>
            <w:tcW w:w="1220" w:type="dxa"/>
            <w:shd w:val="clear" w:color="auto" w:fill="EEF2F6"/>
          </w:tcPr>
          <w:p>
            <w:pPr>
              <w:pStyle w:val="Compact"/>
              <w:spacing w:before="20" w:after="20"/>
              <w:jc w:val="left"/>
            </w:pPr>
            <w:r>
              <w:rPr>
                <w:sz w:val="16"/>
              </w:rPr>
              <w:t>Non</w:t>
            </w:r>
          </w:p>
        </w:tc>
        <w:tc>
          <w:tcPr>
            <w:tcW w:w="1793" w:type="dxa"/>
            <w:shd w:val="clear" w:color="auto" w:fill="EEF2F6"/>
          </w:tcPr>
          <w:p>
            <w:pPr>
              <w:pStyle w:val="Compact"/>
              <w:spacing w:before="20" w:after="20"/>
              <w:jc w:val="left"/>
            </w:pPr>
            <w:r>
              <w:rPr>
                <w:bCs/>
                <w:b/>
                <w:sz w:val="16"/>
              </w:rPr>
              <w:t>Inconnue</w:t>
            </w:r>
            <w:r>
              <w:rPr>
                <w:sz w:val="16"/>
              </w:rPr>
              <w:t xml:space="preserve"> </w:t>
            </w:r>
            <w:r>
              <w:rPr>
                <w:sz w:val="16"/>
              </w:rPr>
              <w:t>—</w:t>
            </w:r>
            <w:r>
              <w:rPr>
                <w:sz w:val="16"/>
              </w:rPr>
              <w:t xml:space="preserve"> </w:t>
            </w:r>
            <w:r>
              <w:rPr>
                <w:bCs/>
                <w:b/>
                <w:sz w:val="16"/>
              </w:rPr>
              <w:t>point de concentration</w:t>
            </w:r>
          </w:p>
        </w:tc>
      </w:tr>
      <w:tr>
        <w:trPr>
          <w:cantSplit w:val="true"/>
        </w:trPr>
        <w:tc>
          <w:tcPr>
            <w:tcW w:w="520" w:type="dxa"/>
          </w:tcPr>
          <w:p>
            <w:pPr>
              <w:pStyle w:val="Compact"/>
              <w:spacing w:before="20" w:after="20"/>
              <w:jc w:val="left"/>
            </w:pPr>
            <w:r>
              <w:rPr>
                <w:sz w:val="16"/>
              </w:rPr>
              <w:t>R5</w:t>
            </w:r>
          </w:p>
        </w:tc>
        <w:tc>
          <w:tcPr>
            <w:tcW w:w="2032" w:type="dxa"/>
          </w:tcPr>
          <w:p>
            <w:pPr>
              <w:pStyle w:val="Compact"/>
              <w:spacing w:before="20" w:after="20"/>
              <w:jc w:val="left"/>
            </w:pPr>
            <w:r>
              <w:rPr>
                <w:sz w:val="16"/>
              </w:rPr>
              <w:t>Téléphonie (opérateur)</w:t>
            </w:r>
          </w:p>
        </w:tc>
        <w:tc>
          <w:tcPr>
            <w:tcW w:w="1120" w:type="dxa"/>
          </w:tcPr>
          <w:p>
            <w:pPr>
              <w:pStyle w:val="Compact"/>
              <w:spacing w:before="20" w:after="20"/>
              <w:jc w:val="left"/>
            </w:pPr>
            <w:r>
              <w:rPr>
                <w:sz w:val="16"/>
              </w:rPr>
              <w:t>A4</w:t>
            </w:r>
          </w:p>
        </w:tc>
        <w:tc>
          <w:tcPr>
            <w:tcW w:w="1132" w:type="dxa"/>
          </w:tcPr>
          <w:p>
            <w:pPr>
              <w:pStyle w:val="Compact"/>
              <w:spacing w:before="20" w:after="20"/>
              <w:jc w:val="left"/>
            </w:pPr>
            <w:r>
              <w:rPr>
                <w:sz w:val="16"/>
              </w:rPr>
              <w:t>RTO 1 j</w:t>
            </w:r>
          </w:p>
        </w:tc>
        <w:tc>
          <w:tcPr>
            <w:tcW w:w="1594" w:type="dxa"/>
          </w:tcPr>
          <w:p>
            <w:pPr>
              <w:pStyle w:val="Compact"/>
              <w:spacing w:before="20" w:after="20"/>
              <w:jc w:val="left"/>
            </w:pPr>
            <w:r>
              <w:rPr>
                <w:sz w:val="16"/>
              </w:rPr>
              <w:t>4 h (contrat)</w:t>
            </w:r>
          </w:p>
        </w:tc>
        <w:tc>
          <w:tcPr>
            <w:tcW w:w="1220" w:type="dxa"/>
          </w:tcPr>
          <w:p>
            <w:pPr>
              <w:pStyle w:val="Compact"/>
              <w:spacing w:before="20" w:after="20"/>
              <w:jc w:val="left"/>
            </w:pPr>
            <w:r>
              <w:rPr>
                <w:sz w:val="16"/>
              </w:rPr>
              <w:t>Oui (mobiles)</w:t>
            </w:r>
          </w:p>
        </w:tc>
        <w:tc>
          <w:tcPr>
            <w:tcW w:w="1793" w:type="dxa"/>
          </w:tcPr>
          <w:p>
            <w:pPr>
              <w:pStyle w:val="Compact"/>
              <w:spacing w:before="20" w:after="20"/>
              <w:jc w:val="left"/>
            </w:pPr>
            <w:r>
              <w:rPr>
                <w:sz w:val="16"/>
              </w:rPr>
              <w:t>Conforme</w:t>
            </w:r>
          </w:p>
        </w:tc>
      </w:tr>
      <w:tr>
        <w:trPr>
          <w:cantSplit w:val="true"/>
        </w:trPr>
        <w:tc>
          <w:tcPr>
            <w:tcW w:w="520" w:type="dxa"/>
            <w:shd w:val="clear" w:color="auto" w:fill="EEF2F6"/>
          </w:tcPr>
          <w:p>
            <w:pPr>
              <w:pStyle w:val="Compact"/>
              <w:spacing w:before="20" w:after="20"/>
              <w:jc w:val="left"/>
            </w:pPr>
            <w:r>
              <w:rPr>
                <w:sz w:val="16"/>
              </w:rPr>
              <w:t>R6</w:t>
            </w:r>
          </w:p>
        </w:tc>
        <w:tc>
          <w:tcPr>
            <w:tcW w:w="2032" w:type="dxa"/>
            <w:shd w:val="clear" w:color="auto" w:fill="EEF2F6"/>
          </w:tcPr>
          <w:p>
            <w:pPr>
              <w:pStyle w:val="Compact"/>
              <w:spacing w:before="20" w:after="20"/>
              <w:jc w:val="left"/>
            </w:pPr>
            <w:r>
              <w:rPr>
                <w:sz w:val="16"/>
              </w:rPr>
              <w:t>Prestataire logistique</w:t>
            </w:r>
          </w:p>
        </w:tc>
        <w:tc>
          <w:tcPr>
            <w:tcW w:w="1120" w:type="dxa"/>
            <w:shd w:val="clear" w:color="auto" w:fill="EEF2F6"/>
          </w:tcPr>
          <w:p>
            <w:pPr>
              <w:pStyle w:val="Compact"/>
              <w:spacing w:before="20" w:after="20"/>
              <w:jc w:val="left"/>
            </w:pPr>
            <w:r>
              <w:rPr>
                <w:sz w:val="16"/>
              </w:rPr>
              <w:t>A5</w:t>
            </w:r>
          </w:p>
        </w:tc>
        <w:tc>
          <w:tcPr>
            <w:tcW w:w="1132" w:type="dxa"/>
            <w:shd w:val="clear" w:color="auto" w:fill="EEF2F6"/>
          </w:tcPr>
          <w:p>
            <w:pPr>
              <w:pStyle w:val="Compact"/>
              <w:spacing w:before="20" w:after="20"/>
              <w:jc w:val="left"/>
            </w:pPr>
            <w:r>
              <w:rPr>
                <w:sz w:val="16"/>
              </w:rPr>
              <w:t>RTO 1 j</w:t>
            </w:r>
          </w:p>
        </w:tc>
        <w:tc>
          <w:tcPr>
            <w:tcW w:w="1594" w:type="dxa"/>
            <w:shd w:val="clear" w:color="auto" w:fill="EEF2F6"/>
          </w:tcPr>
          <w:p>
            <w:pPr>
              <w:pStyle w:val="Compact"/>
              <w:spacing w:before="20" w:after="20"/>
              <w:jc w:val="left"/>
            </w:pPr>
            <w:r>
              <w:rPr>
                <w:sz w:val="16"/>
              </w:rPr>
              <w:t>Inconnue (plan du prestataire non communiqué)</w:t>
            </w:r>
          </w:p>
        </w:tc>
        <w:tc>
          <w:tcPr>
            <w:tcW w:w="1220" w:type="dxa"/>
            <w:shd w:val="clear" w:color="auto" w:fill="EEF2F6"/>
          </w:tcPr>
          <w:p>
            <w:pPr>
              <w:pStyle w:val="Compact"/>
              <w:spacing w:before="20" w:after="20"/>
              <w:jc w:val="left"/>
            </w:pPr>
            <w:r>
              <w:rPr>
                <w:sz w:val="16"/>
              </w:rPr>
              <w:t>Non</w:t>
            </w:r>
          </w:p>
        </w:tc>
        <w:tc>
          <w:tcPr>
            <w:tcW w:w="1793" w:type="dxa"/>
            <w:shd w:val="clear" w:color="auto" w:fill="EEF2F6"/>
          </w:tcPr>
          <w:p>
            <w:pPr>
              <w:pStyle w:val="Compact"/>
              <w:spacing w:before="20" w:after="20"/>
              <w:jc w:val="left"/>
            </w:pPr>
            <w:r>
              <w:rPr>
                <w:bCs/>
                <w:b/>
                <w:sz w:val="16"/>
              </w:rPr>
              <w:t>Inconnue</w:t>
            </w:r>
          </w:p>
        </w:tc>
      </w:tr>
      <w:tr>
        <w:trPr>
          <w:cantSplit w:val="true"/>
        </w:trPr>
        <w:tc>
          <w:tcPr>
            <w:tcW w:w="520" w:type="dxa"/>
          </w:tcPr>
          <w:p>
            <w:pPr>
              <w:pStyle w:val="Compact"/>
              <w:spacing w:before="20" w:after="20"/>
              <w:jc w:val="left"/>
            </w:pPr>
            <w:r>
              <w:rPr>
                <w:sz w:val="16"/>
              </w:rPr>
              <w:t>R7</w:t>
            </w:r>
          </w:p>
        </w:tc>
        <w:tc>
          <w:tcPr>
            <w:tcW w:w="2032" w:type="dxa"/>
          </w:tcPr>
          <w:p>
            <w:pPr>
              <w:pStyle w:val="Compact"/>
              <w:spacing w:before="20" w:after="20"/>
              <w:jc w:val="left"/>
            </w:pPr>
            <w:r>
              <w:rPr>
                <w:sz w:val="16"/>
              </w:rPr>
              <w:t>Entrepôt unique</w:t>
            </w:r>
          </w:p>
        </w:tc>
        <w:tc>
          <w:tcPr>
            <w:tcW w:w="1120" w:type="dxa"/>
          </w:tcPr>
          <w:p>
            <w:pPr>
              <w:pStyle w:val="Compact"/>
              <w:spacing w:before="20" w:after="20"/>
              <w:jc w:val="left"/>
            </w:pPr>
            <w:r>
              <w:rPr>
                <w:sz w:val="16"/>
              </w:rPr>
              <w:t>A5</w:t>
            </w:r>
          </w:p>
        </w:tc>
        <w:tc>
          <w:tcPr>
            <w:tcW w:w="1132" w:type="dxa"/>
          </w:tcPr>
          <w:p>
            <w:pPr>
              <w:pStyle w:val="Compact"/>
              <w:spacing w:before="20" w:after="20"/>
              <w:jc w:val="left"/>
            </w:pPr>
            <w:r>
              <w:rPr>
                <w:sz w:val="16"/>
              </w:rPr>
              <w:t>RTO 1 j</w:t>
            </w:r>
          </w:p>
        </w:tc>
        <w:tc>
          <w:tcPr>
            <w:tcW w:w="1594" w:type="dxa"/>
          </w:tcPr>
          <w:p>
            <w:pPr>
              <w:pStyle w:val="Compact"/>
              <w:spacing w:before="20" w:after="20"/>
              <w:jc w:val="left"/>
            </w:pPr>
            <w:r>
              <w:rPr>
                <w:sz w:val="16"/>
              </w:rPr>
              <w:t>Plus d’un mois (estimation : aucun site de repli)</w:t>
            </w:r>
          </w:p>
        </w:tc>
        <w:tc>
          <w:tcPr>
            <w:tcW w:w="1220" w:type="dxa"/>
          </w:tcPr>
          <w:p>
            <w:pPr>
              <w:pStyle w:val="Compact"/>
              <w:spacing w:before="20" w:after="20"/>
              <w:jc w:val="left"/>
            </w:pPr>
            <w:r>
              <w:rPr>
                <w:sz w:val="16"/>
              </w:rPr>
              <w:t>Non</w:t>
            </w:r>
          </w:p>
        </w:tc>
        <w:tc>
          <w:tcPr>
            <w:tcW w:w="1793" w:type="dxa"/>
          </w:tcPr>
          <w:p>
            <w:pPr>
              <w:pStyle w:val="Compact"/>
              <w:spacing w:before="20" w:after="20"/>
              <w:jc w:val="left"/>
            </w:pPr>
            <w:r>
              <w:rPr>
                <w:bCs/>
                <w:b/>
                <w:sz w:val="16"/>
              </w:rPr>
              <w:t>Écart</w:t>
            </w:r>
          </w:p>
        </w:tc>
      </w:tr>
      <w:tr>
        <w:trPr>
          <w:cantSplit w:val="true"/>
        </w:trPr>
        <w:tc>
          <w:tcPr>
            <w:tcW w:w="520" w:type="dxa"/>
            <w:shd w:val="clear" w:color="auto" w:fill="EEF2F6"/>
          </w:tcPr>
          <w:p>
            <w:pPr>
              <w:pStyle w:val="Compact"/>
              <w:spacing w:before="20" w:after="20"/>
              <w:jc w:val="left"/>
            </w:pPr>
            <w:r>
              <w:rPr>
                <w:sz w:val="16"/>
              </w:rPr>
              <w:t>R8</w:t>
            </w:r>
          </w:p>
        </w:tc>
        <w:tc>
          <w:tcPr>
            <w:tcW w:w="2032" w:type="dxa"/>
            <w:shd w:val="clear" w:color="auto" w:fill="EEF2F6"/>
          </w:tcPr>
          <w:p>
            <w:pPr>
              <w:pStyle w:val="Compact"/>
              <w:spacing w:before="20" w:after="20"/>
              <w:jc w:val="left"/>
            </w:pPr>
            <w:r>
              <w:rPr>
                <w:sz w:val="16"/>
              </w:rPr>
              <w:t>Rôle d’administrateur ERP (une seule personne)</w:t>
            </w:r>
          </w:p>
        </w:tc>
        <w:tc>
          <w:tcPr>
            <w:tcW w:w="1120" w:type="dxa"/>
            <w:shd w:val="clear" w:color="auto" w:fill="EEF2F6"/>
          </w:tcPr>
          <w:p>
            <w:pPr>
              <w:pStyle w:val="Compact"/>
              <w:spacing w:before="20" w:after="20"/>
              <w:jc w:val="left"/>
            </w:pPr>
            <w:r>
              <w:rPr>
                <w:sz w:val="16"/>
              </w:rPr>
              <w:t>A1, A5, A6, A7</w:t>
            </w:r>
          </w:p>
        </w:tc>
        <w:tc>
          <w:tcPr>
            <w:tcW w:w="1132" w:type="dxa"/>
            <w:shd w:val="clear" w:color="auto" w:fill="EEF2F6"/>
          </w:tcPr>
          <w:p>
            <w:pPr>
              <w:pStyle w:val="Compact"/>
              <w:spacing w:before="20" w:after="20"/>
              <w:jc w:val="left"/>
            </w:pPr>
            <w:r>
              <w:rPr>
                <w:sz w:val="16"/>
              </w:rPr>
              <w:t>RTO 8 h</w:t>
            </w:r>
          </w:p>
        </w:tc>
        <w:tc>
          <w:tcPr>
            <w:tcW w:w="1594" w:type="dxa"/>
            <w:shd w:val="clear" w:color="auto" w:fill="EEF2F6"/>
          </w:tcPr>
          <w:p>
            <w:pPr>
              <w:pStyle w:val="Compact"/>
              <w:spacing w:before="20" w:after="20"/>
              <w:jc w:val="left"/>
            </w:pPr>
            <w:r>
              <w:rPr>
                <w:sz w:val="16"/>
              </w:rPr>
              <w:t>Inconnue</w:t>
            </w:r>
          </w:p>
        </w:tc>
        <w:tc>
          <w:tcPr>
            <w:tcW w:w="1220" w:type="dxa"/>
            <w:shd w:val="clear" w:color="auto" w:fill="EEF2F6"/>
          </w:tcPr>
          <w:p>
            <w:pPr>
              <w:pStyle w:val="Compact"/>
              <w:spacing w:before="20" w:after="20"/>
              <w:jc w:val="left"/>
            </w:pPr>
            <w:r>
              <w:rPr>
                <w:sz w:val="16"/>
              </w:rPr>
              <w:t>Non</w:t>
            </w:r>
          </w:p>
        </w:tc>
        <w:tc>
          <w:tcPr>
            <w:tcW w:w="1793" w:type="dxa"/>
            <w:shd w:val="clear" w:color="auto" w:fill="EEF2F6"/>
          </w:tcPr>
          <w:p>
            <w:pPr>
              <w:pStyle w:val="Compact"/>
              <w:spacing w:before="20" w:after="20"/>
              <w:jc w:val="left"/>
            </w:pPr>
            <w:r>
              <w:rPr>
                <w:bCs/>
                <w:b/>
                <w:sz w:val="16"/>
              </w:rPr>
              <w:t>Inconnue</w:t>
            </w:r>
            <w:r>
              <w:rPr>
                <w:sz w:val="16"/>
              </w:rPr>
              <w:t xml:space="preserve"> </w:t>
            </w:r>
            <w:r>
              <w:rPr>
                <w:sz w:val="16"/>
              </w:rPr>
              <w:t>—</w:t>
            </w:r>
            <w:r>
              <w:rPr>
                <w:sz w:val="16"/>
              </w:rPr>
              <w:t xml:space="preserve"> </w:t>
            </w:r>
            <w:r>
              <w:rPr>
                <w:bCs/>
                <w:b/>
                <w:sz w:val="16"/>
              </w:rPr>
              <w:t>point de concentration</w:t>
            </w:r>
          </w:p>
        </w:tc>
      </w:tr>
    </w:tbl>
    <w:bookmarkEnd w:id="67"/>
    <w:bookmarkStart w:id="68" w:name="d.5-synthèse-pour-la-direction-extrait"/>
    <w:p>
      <w:pPr>
        <w:keepNext/>
        <w:pStyle w:val="Heading3"/>
      </w:pPr>
      <w:r>
        <w:t>D.5 Synthèse pour la direction (extrait)</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1985"/>
        <w:gridCol w:w="7426"/>
      </w:tblGrid>
      <w:tr>
        <w:trPr>
          <w:tblHeader w:val="true"/>
          <w:cantSplit w:val="true"/>
          <w:tblHeader w:val="true"/>
        </w:trPr>
        <w:tc>
          <w:tcPr>
            <w:tcW w:w="1985" w:type="dxa"/>
            <w:shd w:val="clear" w:color="auto" w:fill="1F3A5F"/>
          </w:tcPr>
          <w:p>
            <w:pPr>
              <w:pStyle w:val="Compact"/>
              <w:spacing w:before="20" w:after="20"/>
              <w:jc w:val="left"/>
            </w:pPr>
            <w:r>
              <w:rPr>
                <w:b/>
                <w:color w:val="FFFFFF"/>
                <w:sz w:val="18"/>
              </w:rPr>
              <w:t>Axe</w:t>
            </w:r>
          </w:p>
        </w:tc>
        <w:tc>
          <w:tcPr>
            <w:tcW w:w="7426" w:type="dxa"/>
            <w:shd w:val="clear" w:color="auto" w:fill="1F3A5F"/>
          </w:tcPr>
          <w:p>
            <w:pPr>
              <w:pStyle w:val="Compact"/>
              <w:spacing w:before="20" w:after="20"/>
              <w:jc w:val="left"/>
            </w:pPr>
            <w:r>
              <w:rPr>
                <w:b/>
                <w:color w:val="FFFFFF"/>
                <w:sz w:val="18"/>
              </w:rPr>
              <w:t>Résultat</w:t>
            </w:r>
          </w:p>
        </w:tc>
      </w:tr>
      <w:tr>
        <w:trPr>
          <w:cantSplit w:val="true"/>
        </w:trPr>
        <w:tc>
          <w:tcPr>
            <w:tcW w:w="1985" w:type="dxa"/>
          </w:tcPr>
          <w:p>
            <w:pPr>
              <w:pStyle w:val="Compact"/>
              <w:spacing w:before="20" w:after="20"/>
              <w:jc w:val="left"/>
            </w:pPr>
            <w:r>
              <w:rPr>
                <w:sz w:val="18"/>
              </w:rPr>
              <w:t>Services prioritaires</w:t>
            </w:r>
          </w:p>
        </w:tc>
        <w:tc>
          <w:tcPr>
            <w:tcW w:w="7426" w:type="dxa"/>
          </w:tcPr>
          <w:p>
            <w:pPr>
              <w:pStyle w:val="Compact"/>
              <w:spacing w:before="20" w:after="20"/>
              <w:jc w:val="left"/>
            </w:pPr>
            <w:r>
              <w:rPr>
                <w:sz w:val="18"/>
              </w:rPr>
              <w:t>S1 vente en ligne (DMIA 1 j) ; S2 relation client, S3 expédition, S4 facturation en période de clôture (3 j)</w:t>
            </w:r>
          </w:p>
        </w:tc>
      </w:tr>
      <w:tr>
        <w:trPr>
          <w:cantSplit w:val="true"/>
        </w:trPr>
        <w:tc>
          <w:tcPr>
            <w:tcW w:w="1985" w:type="dxa"/>
            <w:shd w:val="clear" w:color="auto" w:fill="EEF2F6"/>
          </w:tcPr>
          <w:p>
            <w:pPr>
              <w:pStyle w:val="Compact"/>
              <w:spacing w:before="20" w:after="20"/>
              <w:jc w:val="left"/>
            </w:pPr>
            <w:r>
              <w:rPr>
                <w:sz w:val="18"/>
              </w:rPr>
              <w:t>Activités</w:t>
            </w:r>
          </w:p>
        </w:tc>
        <w:tc>
          <w:tcPr>
            <w:tcW w:w="7426" w:type="dxa"/>
            <w:shd w:val="clear" w:color="auto" w:fill="EEF2F6"/>
          </w:tcPr>
          <w:p>
            <w:pPr>
              <w:pStyle w:val="Compact"/>
              <w:spacing w:before="20" w:after="20"/>
              <w:jc w:val="left"/>
            </w:pPr>
            <w:r>
              <w:rPr>
                <w:sz w:val="18"/>
              </w:rPr>
              <w:t>7 analysées en entretien, 1 par héritage</w:t>
            </w:r>
          </w:p>
        </w:tc>
      </w:tr>
      <w:tr>
        <w:trPr>
          <w:cantSplit w:val="true"/>
        </w:trPr>
        <w:tc>
          <w:tcPr>
            <w:tcW w:w="1985" w:type="dxa"/>
          </w:tcPr>
          <w:p>
            <w:pPr>
              <w:pStyle w:val="Compact"/>
              <w:spacing w:before="20" w:after="20"/>
              <w:jc w:val="left"/>
            </w:pPr>
            <w:r>
              <w:rPr>
                <w:sz w:val="18"/>
              </w:rPr>
              <w:t>Points de concentration</w:t>
            </w:r>
          </w:p>
        </w:tc>
        <w:tc>
          <w:tcPr>
            <w:tcW w:w="7426" w:type="dxa"/>
          </w:tcPr>
          <w:p>
            <w:pPr>
              <w:pStyle w:val="Compact"/>
              <w:spacing w:before="20" w:after="20"/>
              <w:jc w:val="left"/>
            </w:pPr>
            <w:r>
              <w:rPr>
                <w:sz w:val="18"/>
              </w:rPr>
              <w:t>ERP ; annuaire et identités ; rôle d’administrateur ERP ; plateforme de vente en ligne (conforme, non testée)</w:t>
            </w:r>
          </w:p>
        </w:tc>
      </w:tr>
      <w:tr>
        <w:trPr>
          <w:cantSplit w:val="true"/>
        </w:trPr>
        <w:tc>
          <w:tcPr>
            <w:tcW w:w="1985" w:type="dxa"/>
            <w:shd w:val="clear" w:color="auto" w:fill="EEF2F6"/>
          </w:tcPr>
          <w:p>
            <w:pPr>
              <w:pStyle w:val="Compact"/>
              <w:spacing w:before="20" w:after="20"/>
              <w:jc w:val="left"/>
            </w:pPr>
            <w:r>
              <w:rPr>
                <w:sz w:val="18"/>
              </w:rPr>
              <w:t>Écarts majeurs</w:t>
            </w:r>
          </w:p>
        </w:tc>
        <w:tc>
          <w:tcPr>
            <w:tcW w:w="7426" w:type="dxa"/>
            <w:shd w:val="clear" w:color="auto" w:fill="EEF2F6"/>
          </w:tcPr>
          <w:p>
            <w:pPr>
              <w:pStyle w:val="Compact"/>
              <w:spacing w:before="20" w:after="20"/>
              <w:jc w:val="left"/>
            </w:pPr>
            <w:r>
              <w:rPr>
                <w:sz w:val="18"/>
              </w:rPr>
              <w:t>ERP restauré en 36 h avec une perte d’un jour, pour 8 h et une heure requises ; entrepôt unique sans repli ; capacité inconnue pour le prestataire de paiement, le prestataire logistique, l’annuaire en scénario cyber et le rôle d’administrateur ERP</w:t>
            </w:r>
          </w:p>
        </w:tc>
      </w:tr>
      <w:tr>
        <w:trPr>
          <w:cantSplit w:val="true"/>
        </w:trPr>
        <w:tc>
          <w:tcPr>
            <w:tcW w:w="1985" w:type="dxa"/>
          </w:tcPr>
          <w:p>
            <w:pPr>
              <w:pStyle w:val="Compact"/>
              <w:spacing w:before="20" w:after="20"/>
              <w:jc w:val="left"/>
            </w:pPr>
            <w:r>
              <w:rPr>
                <w:sz w:val="18"/>
              </w:rPr>
              <w:t>Modes dégradés non éprouvés</w:t>
            </w:r>
          </w:p>
        </w:tc>
        <w:tc>
          <w:tcPr>
            <w:tcW w:w="7426" w:type="dxa"/>
          </w:tcPr>
          <w:p>
            <w:pPr>
              <w:pStyle w:val="Compact"/>
              <w:spacing w:before="20" w:after="20"/>
              <w:jc w:val="left"/>
            </w:pPr>
            <w:r>
              <w:rPr>
                <w:sz w:val="18"/>
              </w:rPr>
              <w:t>5 sur 7 : commandes par téléphone (A1), gel des prix (A3), bons papier (A5), factures manuelles (A6), plafond de commande sans contrôle (A7)</w:t>
            </w:r>
          </w:p>
        </w:tc>
      </w:tr>
    </w:tbl>
    <w:p>
      <w:pPr>
        <w:keepNext/>
      </w:pP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432"/>
        <w:gridCol w:w="7875"/>
        <w:gridCol w:w="1104"/>
      </w:tblGrid>
      <w:tr>
        <w:trPr>
          <w:tblHeader w:val="true"/>
          <w:cantSplit w:val="true"/>
          <w:tblHeader w:val="true"/>
        </w:trPr>
        <w:tc>
          <w:tcPr>
            <w:tcW w:w="432" w:type="dxa"/>
            <w:shd w:val="clear" w:color="auto" w:fill="1F3A5F"/>
          </w:tcPr>
          <w:p>
            <w:pPr>
              <w:pStyle w:val="Compact"/>
              <w:spacing w:before="20" w:after="20"/>
              <w:jc w:val="left"/>
            </w:pPr>
            <w:r>
              <w:rPr>
                <w:b/>
                <w:color w:val="FFFFFF"/>
                <w:sz w:val="18"/>
              </w:rPr>
              <w:t>#</w:t>
            </w:r>
          </w:p>
        </w:tc>
        <w:tc>
          <w:tcPr>
            <w:tcW w:w="7875" w:type="dxa"/>
            <w:shd w:val="clear" w:color="auto" w:fill="1F3A5F"/>
          </w:tcPr>
          <w:p>
            <w:pPr>
              <w:pStyle w:val="Compact"/>
              <w:spacing w:before="20" w:after="20"/>
              <w:jc w:val="left"/>
            </w:pPr>
            <w:r>
              <w:rPr>
                <w:b/>
                <w:color w:val="FFFFFF"/>
                <w:sz w:val="18"/>
              </w:rPr>
              <w:t>Décision proposée</w:t>
            </w:r>
          </w:p>
        </w:tc>
        <w:tc>
          <w:tcPr>
            <w:tcW w:w="1104" w:type="dxa"/>
            <w:shd w:val="clear" w:color="auto" w:fill="1F3A5F"/>
          </w:tcPr>
          <w:p>
            <w:pPr>
              <w:pStyle w:val="Compact"/>
              <w:spacing w:before="20" w:after="20"/>
              <w:jc w:val="left"/>
            </w:pPr>
            <w:r>
              <w:rPr>
                <w:b/>
                <w:color w:val="FFFFFF"/>
                <w:sz w:val="18"/>
              </w:rPr>
              <w:t>Urgence</w:t>
            </w:r>
          </w:p>
        </w:tc>
      </w:tr>
      <w:tr>
        <w:trPr>
          <w:cantSplit w:val="true"/>
        </w:trPr>
        <w:tc>
          <w:tcPr>
            <w:tcW w:w="432" w:type="dxa"/>
          </w:tcPr>
          <w:p>
            <w:pPr>
              <w:pStyle w:val="Compact"/>
              <w:spacing w:before="20" w:after="20"/>
              <w:jc w:val="left"/>
            </w:pPr>
            <w:r>
              <w:rPr>
                <w:sz w:val="18"/>
              </w:rPr>
              <w:t>1</w:t>
            </w:r>
          </w:p>
        </w:tc>
        <w:tc>
          <w:tcPr>
            <w:tcW w:w="7875" w:type="dxa"/>
          </w:tcPr>
          <w:p>
            <w:pPr>
              <w:pStyle w:val="Compact"/>
              <w:spacing w:before="20" w:after="20"/>
              <w:jc w:val="left"/>
            </w:pPr>
            <w:r>
              <w:rPr>
                <w:sz w:val="18"/>
              </w:rPr>
              <w:t>Valider les seuils des quatre services prioritaires</w:t>
            </w:r>
          </w:p>
        </w:tc>
        <w:tc>
          <w:tcPr>
            <w:tcW w:w="1104" w:type="dxa"/>
          </w:tcPr>
          <w:p>
            <w:pPr>
              <w:pStyle w:val="Compact"/>
              <w:spacing w:before="20" w:after="20"/>
              <w:jc w:val="left"/>
            </w:pPr>
            <w:r>
              <w:rPr>
                <w:sz w:val="18"/>
              </w:rPr>
              <w:t>Haute</w:t>
            </w:r>
          </w:p>
        </w:tc>
      </w:tr>
      <w:tr>
        <w:trPr>
          <w:cantSplit w:val="true"/>
        </w:trPr>
        <w:tc>
          <w:tcPr>
            <w:tcW w:w="432" w:type="dxa"/>
            <w:shd w:val="clear" w:color="auto" w:fill="EEF2F6"/>
          </w:tcPr>
          <w:p>
            <w:pPr>
              <w:pStyle w:val="Compact"/>
              <w:spacing w:before="20" w:after="20"/>
              <w:jc w:val="left"/>
            </w:pPr>
            <w:r>
              <w:rPr>
                <w:sz w:val="18"/>
              </w:rPr>
              <w:t>2</w:t>
            </w:r>
          </w:p>
        </w:tc>
        <w:tc>
          <w:tcPr>
            <w:tcW w:w="7875" w:type="dxa"/>
            <w:shd w:val="clear" w:color="auto" w:fill="EEF2F6"/>
          </w:tcPr>
          <w:p>
            <w:pPr>
              <w:pStyle w:val="Compact"/>
              <w:spacing w:before="20" w:after="20"/>
              <w:jc w:val="left"/>
            </w:pPr>
            <w:r>
              <w:rPr>
                <w:sz w:val="18"/>
              </w:rPr>
              <w:t>Lancer un projet de reprise de l’ERP en 8 h avec une perte d’une heure au plus, ou accepter la situation actuelle jusqu’à sa livraison en renforçant le mode dégradé de A1</w:t>
            </w:r>
          </w:p>
        </w:tc>
        <w:tc>
          <w:tcPr>
            <w:tcW w:w="1104" w:type="dxa"/>
            <w:shd w:val="clear" w:color="auto" w:fill="EEF2F6"/>
          </w:tcPr>
          <w:p>
            <w:pPr>
              <w:pStyle w:val="Compact"/>
              <w:spacing w:before="20" w:after="20"/>
              <w:jc w:val="left"/>
            </w:pPr>
            <w:r>
              <w:rPr>
                <w:sz w:val="18"/>
              </w:rPr>
              <w:t>Haute</w:t>
            </w:r>
          </w:p>
        </w:tc>
      </w:tr>
      <w:tr>
        <w:trPr>
          <w:cantSplit w:val="true"/>
        </w:trPr>
        <w:tc>
          <w:tcPr>
            <w:tcW w:w="432" w:type="dxa"/>
          </w:tcPr>
          <w:p>
            <w:pPr>
              <w:pStyle w:val="Compact"/>
              <w:spacing w:before="20" w:after="20"/>
              <w:jc w:val="left"/>
            </w:pPr>
            <w:r>
              <w:rPr>
                <w:sz w:val="18"/>
              </w:rPr>
              <w:t>3</w:t>
            </w:r>
          </w:p>
        </w:tc>
        <w:tc>
          <w:tcPr>
            <w:tcW w:w="7875" w:type="dxa"/>
          </w:tcPr>
          <w:p>
            <w:pPr>
              <w:pStyle w:val="Compact"/>
              <w:spacing w:before="20" w:after="20"/>
              <w:jc w:val="left"/>
            </w:pPr>
            <w:r>
              <w:rPr>
                <w:sz w:val="18"/>
              </w:rPr>
              <w:t>Obtenir des engagements de continuité du prestataire de paiement et du prestataire logistique</w:t>
            </w:r>
          </w:p>
        </w:tc>
        <w:tc>
          <w:tcPr>
            <w:tcW w:w="1104" w:type="dxa"/>
          </w:tcPr>
          <w:p>
            <w:pPr>
              <w:pStyle w:val="Compact"/>
              <w:spacing w:before="20" w:after="20"/>
              <w:jc w:val="left"/>
            </w:pPr>
            <w:r>
              <w:rPr>
                <w:sz w:val="18"/>
              </w:rPr>
              <w:t>Haute</w:t>
            </w:r>
          </w:p>
        </w:tc>
      </w:tr>
      <w:tr>
        <w:trPr>
          <w:cantSplit w:val="true"/>
        </w:trPr>
        <w:tc>
          <w:tcPr>
            <w:tcW w:w="432" w:type="dxa"/>
            <w:shd w:val="clear" w:color="auto" w:fill="EEF2F6"/>
          </w:tcPr>
          <w:p>
            <w:pPr>
              <w:pStyle w:val="Compact"/>
              <w:spacing w:before="20" w:after="20"/>
              <w:jc w:val="left"/>
            </w:pPr>
            <w:r>
              <w:rPr>
                <w:sz w:val="18"/>
              </w:rPr>
              <w:t>4</w:t>
            </w:r>
          </w:p>
        </w:tc>
        <w:tc>
          <w:tcPr>
            <w:tcW w:w="7875" w:type="dxa"/>
            <w:shd w:val="clear" w:color="auto" w:fill="EEF2F6"/>
          </w:tcPr>
          <w:p>
            <w:pPr>
              <w:pStyle w:val="Compact"/>
              <w:spacing w:before="20" w:after="20"/>
              <w:jc w:val="left"/>
            </w:pPr>
            <w:r>
              <w:rPr>
                <w:sz w:val="18"/>
              </w:rPr>
              <w:t>Former un second administrateur ERP</w:t>
            </w:r>
          </w:p>
        </w:tc>
        <w:tc>
          <w:tcPr>
            <w:tcW w:w="1104" w:type="dxa"/>
            <w:shd w:val="clear" w:color="auto" w:fill="EEF2F6"/>
          </w:tcPr>
          <w:p>
            <w:pPr>
              <w:pStyle w:val="Compact"/>
              <w:spacing w:before="20" w:after="20"/>
              <w:jc w:val="left"/>
            </w:pPr>
            <w:r>
              <w:rPr>
                <w:sz w:val="18"/>
              </w:rPr>
              <w:t>Moyenne</w:t>
            </w:r>
          </w:p>
        </w:tc>
      </w:tr>
      <w:tr>
        <w:trPr>
          <w:cantSplit w:val="true"/>
        </w:trPr>
        <w:tc>
          <w:tcPr>
            <w:tcW w:w="432" w:type="dxa"/>
          </w:tcPr>
          <w:p>
            <w:pPr>
              <w:pStyle w:val="Compact"/>
              <w:spacing w:before="20" w:after="20"/>
              <w:jc w:val="left"/>
            </w:pPr>
            <w:r>
              <w:rPr>
                <w:sz w:val="18"/>
              </w:rPr>
              <w:t>5</w:t>
            </w:r>
          </w:p>
        </w:tc>
        <w:tc>
          <w:tcPr>
            <w:tcW w:w="7875" w:type="dxa"/>
          </w:tcPr>
          <w:p>
            <w:pPr>
              <w:pStyle w:val="Compact"/>
              <w:spacing w:before="20" w:after="20"/>
              <w:jc w:val="left"/>
            </w:pPr>
            <w:r>
              <w:rPr>
                <w:sz w:val="18"/>
              </w:rPr>
              <w:t>Accepter formellement le risque lié à l’entrepôt unique, revu chaque année</w:t>
            </w:r>
          </w:p>
        </w:tc>
        <w:tc>
          <w:tcPr>
            <w:tcW w:w="1104" w:type="dxa"/>
          </w:tcPr>
          <w:p>
            <w:pPr>
              <w:pStyle w:val="Compact"/>
              <w:spacing w:before="20" w:after="20"/>
              <w:jc w:val="left"/>
            </w:pPr>
            <w:r>
              <w:rPr>
                <w:sz w:val="18"/>
              </w:rPr>
              <w:t>Moyenne</w:t>
            </w:r>
          </w:p>
        </w:tc>
      </w:tr>
      <w:tr>
        <w:trPr>
          <w:cantSplit w:val="true"/>
        </w:trPr>
        <w:tc>
          <w:tcPr>
            <w:tcW w:w="432" w:type="dxa"/>
            <w:shd w:val="clear" w:color="auto" w:fill="EEF2F6"/>
          </w:tcPr>
          <w:p>
            <w:pPr>
              <w:pStyle w:val="Compact"/>
              <w:spacing w:before="20" w:after="20"/>
              <w:jc w:val="left"/>
            </w:pPr>
            <w:r>
              <w:rPr>
                <w:sz w:val="18"/>
              </w:rPr>
              <w:t>6</w:t>
            </w:r>
          </w:p>
        </w:tc>
        <w:tc>
          <w:tcPr>
            <w:tcW w:w="7875" w:type="dxa"/>
            <w:shd w:val="clear" w:color="auto" w:fill="EEF2F6"/>
          </w:tcPr>
          <w:p>
            <w:pPr>
              <w:pStyle w:val="Compact"/>
              <w:spacing w:before="20" w:after="20"/>
              <w:jc w:val="left"/>
            </w:pPr>
            <w:r>
              <w:rPr>
                <w:sz w:val="18"/>
              </w:rPr>
              <w:t>Exercer le mode dégradé de prise de commande avant la prochaine fin de trimestre</w:t>
            </w:r>
          </w:p>
        </w:tc>
        <w:tc>
          <w:tcPr>
            <w:tcW w:w="1104" w:type="dxa"/>
            <w:shd w:val="clear" w:color="auto" w:fill="EEF2F6"/>
          </w:tcPr>
          <w:p>
            <w:pPr>
              <w:pStyle w:val="Compact"/>
              <w:spacing w:before="20" w:after="20"/>
              <w:jc w:val="left"/>
            </w:pPr>
            <w:r>
              <w:rPr>
                <w:sz w:val="18"/>
              </w:rPr>
              <w:t>Moyenne</w:t>
            </w:r>
          </w:p>
        </w:tc>
      </w:tr>
    </w:tbl>
    <w:bookmarkEnd w:id="68"/>
    <w:bookmarkEnd w:id="69"/>
    <w:bookmarkStart w:id="70" w:name="X4f82966184f909cffc1b43c65f4489b643e526e"/>
    <w:p>
      <w:pPr>
        <w:keepNext/>
        <w:pStyle w:val="Heading2"/>
      </w:pPr>
      <w:r>
        <w:t>Annexe E — Éléments à produire ou à arbitrer</w:t>
      </w:r>
    </w:p>
    <w:tbl>
      <w:tblPr>
        <w:tblStyle w:val="Table"/>
        <w:tblLook w:firstRow="1" w:lastRow="0" w:firstColumn="0" w:lastColumn="0" w:noHBand="0" w:noVBand="0" w:val="0020"/>
        <w:jc w:val="start"/>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W w:w="9411" w:type="dxa"/>
        <w:tblLayout w:type="fixed"/>
      </w:tblPr>
      <w:tblGrid>
        <w:gridCol w:w="544"/>
        <w:gridCol w:w="4820"/>
        <w:gridCol w:w="1104"/>
        <w:gridCol w:w="2943"/>
      </w:tblGrid>
      <w:tr>
        <w:trPr>
          <w:tblHeader w:val="true"/>
          <w:cantSplit w:val="true"/>
          <w:tblHeader w:val="true"/>
        </w:trPr>
        <w:tc>
          <w:tcPr>
            <w:tcW w:w="544" w:type="dxa"/>
            <w:shd w:val="clear" w:color="auto" w:fill="1F3A5F"/>
          </w:tcPr>
          <w:p>
            <w:pPr>
              <w:pStyle w:val="Compact"/>
              <w:spacing w:before="20" w:after="20"/>
              <w:jc w:val="left"/>
            </w:pPr>
            <w:r>
              <w:rPr>
                <w:b/>
                <w:color w:val="FFFFFF"/>
                <w:sz w:val="18"/>
              </w:rPr>
              <w:t>#</w:t>
            </w:r>
          </w:p>
        </w:tc>
        <w:tc>
          <w:tcPr>
            <w:tcW w:w="4820" w:type="dxa"/>
            <w:shd w:val="clear" w:color="auto" w:fill="1F3A5F"/>
          </w:tcPr>
          <w:p>
            <w:pPr>
              <w:pStyle w:val="Compact"/>
              <w:spacing w:before="20" w:after="20"/>
              <w:jc w:val="left"/>
            </w:pPr>
            <w:r>
              <w:rPr>
                <w:b/>
                <w:color w:val="FFFFFF"/>
                <w:sz w:val="18"/>
              </w:rPr>
              <w:t>Élément</w:t>
            </w:r>
          </w:p>
        </w:tc>
        <w:tc>
          <w:tcPr>
            <w:tcW w:w="1104" w:type="dxa"/>
            <w:shd w:val="clear" w:color="auto" w:fill="1F3A5F"/>
          </w:tcPr>
          <w:p>
            <w:pPr>
              <w:pStyle w:val="Compact"/>
              <w:spacing w:before="20" w:after="20"/>
              <w:jc w:val="left"/>
            </w:pPr>
            <w:r>
              <w:rPr>
                <w:b/>
                <w:color w:val="FFFFFF"/>
                <w:sz w:val="18"/>
              </w:rPr>
              <w:t>Section</w:t>
            </w:r>
          </w:p>
        </w:tc>
        <w:tc>
          <w:tcPr>
            <w:tcW w:w="2943" w:type="dxa"/>
            <w:shd w:val="clear" w:color="auto" w:fill="1F3A5F"/>
          </w:tcPr>
          <w:p>
            <w:pPr>
              <w:pStyle w:val="Compact"/>
              <w:spacing w:before="20" w:after="20"/>
              <w:jc w:val="left"/>
            </w:pPr>
            <w:r>
              <w:rPr>
                <w:b/>
                <w:color w:val="FFFFFF"/>
                <w:sz w:val="18"/>
              </w:rPr>
              <w:t>Porteur suggéré</w:t>
            </w:r>
          </w:p>
        </w:tc>
      </w:tr>
      <w:tr>
        <w:trPr>
          <w:cantSplit w:val="true"/>
        </w:trPr>
        <w:tc>
          <w:tcPr>
            <w:tcW w:w="544" w:type="dxa"/>
          </w:tcPr>
          <w:p>
            <w:pPr>
              <w:pStyle w:val="Compact"/>
              <w:spacing w:before="20" w:after="20"/>
              <w:jc w:val="left"/>
            </w:pPr>
            <w:r>
              <w:rPr>
                <w:sz w:val="18"/>
              </w:rPr>
              <w:t>1</w:t>
            </w:r>
          </w:p>
        </w:tc>
        <w:tc>
          <w:tcPr>
            <w:tcW w:w="4820" w:type="dxa"/>
          </w:tcPr>
          <w:p>
            <w:pPr>
              <w:pStyle w:val="Compact"/>
              <w:spacing w:before="20" w:after="20"/>
              <w:jc w:val="left"/>
            </w:pPr>
            <w:r>
              <w:rPr>
                <w:sz w:val="18"/>
              </w:rPr>
              <w:t>Choix du format</w:t>
            </w:r>
          </w:p>
        </w:tc>
        <w:tc>
          <w:tcPr>
            <w:tcW w:w="1104" w:type="dxa"/>
          </w:tcPr>
          <w:p>
            <w:pPr>
              <w:pStyle w:val="Compact"/>
              <w:spacing w:before="20" w:after="20"/>
              <w:jc w:val="left"/>
            </w:pPr>
            <w:r>
              <w:rPr>
                <w:sz w:val="18"/>
              </w:rPr>
              <w:t>§2.3</w:t>
            </w:r>
          </w:p>
        </w:tc>
        <w:tc>
          <w:tcPr>
            <w:tcW w:w="2943" w:type="dxa"/>
          </w:tcPr>
          <w:p>
            <w:pPr>
              <w:pStyle w:val="Compact"/>
              <w:spacing w:before="20" w:after="20"/>
              <w:jc w:val="left"/>
            </w:pPr>
            <w:r>
              <w:rPr>
                <w:sz w:val="18"/>
              </w:rPr>
              <w:t>Commanditaire</w:t>
            </w:r>
          </w:p>
        </w:tc>
      </w:tr>
      <w:tr>
        <w:trPr>
          <w:cantSplit w:val="true"/>
        </w:trPr>
        <w:tc>
          <w:tcPr>
            <w:tcW w:w="544" w:type="dxa"/>
            <w:shd w:val="clear" w:color="auto" w:fill="EEF2F6"/>
          </w:tcPr>
          <w:p>
            <w:pPr>
              <w:pStyle w:val="Compact"/>
              <w:spacing w:before="20" w:after="20"/>
              <w:jc w:val="left"/>
            </w:pPr>
            <w:r>
              <w:rPr>
                <w:sz w:val="18"/>
              </w:rPr>
              <w:t>2</w:t>
            </w:r>
          </w:p>
        </w:tc>
        <w:tc>
          <w:tcPr>
            <w:tcW w:w="4820" w:type="dxa"/>
            <w:shd w:val="clear" w:color="auto" w:fill="EEF2F6"/>
          </w:tcPr>
          <w:p>
            <w:pPr>
              <w:pStyle w:val="Compact"/>
              <w:spacing w:before="20" w:after="20"/>
              <w:jc w:val="left"/>
            </w:pPr>
            <w:r>
              <w:rPr>
                <w:sz w:val="18"/>
              </w:rPr>
              <w:t>Désignation du commanditaire et du responsable de l’analyse</w:t>
            </w:r>
          </w:p>
        </w:tc>
        <w:tc>
          <w:tcPr>
            <w:tcW w:w="1104" w:type="dxa"/>
            <w:shd w:val="clear" w:color="auto" w:fill="EEF2F6"/>
          </w:tcPr>
          <w:p>
            <w:pPr>
              <w:pStyle w:val="Compact"/>
              <w:spacing w:before="20" w:after="20"/>
              <w:jc w:val="left"/>
            </w:pPr>
            <w:r>
              <w:rPr>
                <w:sz w:val="18"/>
              </w:rPr>
              <w:t>§2.1</w:t>
            </w:r>
          </w:p>
        </w:tc>
        <w:tc>
          <w:tcPr>
            <w:tcW w:w="2943" w:type="dxa"/>
            <w:shd w:val="clear" w:color="auto" w:fill="EEF2F6"/>
          </w:tcPr>
          <w:p>
            <w:pPr>
              <w:pStyle w:val="Compact"/>
              <w:spacing w:before="20" w:after="20"/>
              <w:jc w:val="left"/>
            </w:pPr>
            <w:r>
              <w:rPr>
                <w:sz w:val="18"/>
              </w:rPr>
              <w:t>Direction</w:t>
            </w:r>
          </w:p>
        </w:tc>
      </w:tr>
      <w:tr>
        <w:trPr>
          <w:cantSplit w:val="true"/>
        </w:trPr>
        <w:tc>
          <w:tcPr>
            <w:tcW w:w="544" w:type="dxa"/>
          </w:tcPr>
          <w:p>
            <w:pPr>
              <w:pStyle w:val="Compact"/>
              <w:spacing w:before="20" w:after="20"/>
              <w:jc w:val="left"/>
            </w:pPr>
            <w:r>
              <w:rPr>
                <w:sz w:val="18"/>
              </w:rPr>
              <w:t>3</w:t>
            </w:r>
          </w:p>
        </w:tc>
        <w:tc>
          <w:tcPr>
            <w:tcW w:w="4820" w:type="dxa"/>
          </w:tcPr>
          <w:p>
            <w:pPr>
              <w:pStyle w:val="Compact"/>
              <w:spacing w:before="20" w:after="20"/>
              <w:jc w:val="left"/>
            </w:pPr>
            <w:r>
              <w:rPr>
                <w:sz w:val="18"/>
              </w:rPr>
              <w:t>Périmètre et exclusions</w:t>
            </w:r>
          </w:p>
        </w:tc>
        <w:tc>
          <w:tcPr>
            <w:tcW w:w="1104" w:type="dxa"/>
          </w:tcPr>
          <w:p>
            <w:pPr>
              <w:pStyle w:val="Compact"/>
              <w:spacing w:before="20" w:after="20"/>
              <w:jc w:val="left"/>
            </w:pPr>
            <w:r>
              <w:rPr>
                <w:sz w:val="18"/>
              </w:rPr>
              <w:t>§2.2</w:t>
            </w:r>
          </w:p>
        </w:tc>
        <w:tc>
          <w:tcPr>
            <w:tcW w:w="2943" w:type="dxa"/>
          </w:tcPr>
          <w:p>
            <w:pPr>
              <w:pStyle w:val="Compact"/>
              <w:spacing w:before="20" w:after="20"/>
              <w:jc w:val="left"/>
            </w:pPr>
            <w:r>
              <w:rPr>
                <w:sz w:val="18"/>
              </w:rPr>
              <w:t>Commanditaire</w:t>
            </w:r>
          </w:p>
        </w:tc>
      </w:tr>
      <w:tr>
        <w:trPr>
          <w:cantSplit w:val="true"/>
        </w:trPr>
        <w:tc>
          <w:tcPr>
            <w:tcW w:w="544" w:type="dxa"/>
            <w:shd w:val="clear" w:color="auto" w:fill="EEF2F6"/>
          </w:tcPr>
          <w:p>
            <w:pPr>
              <w:pStyle w:val="Compact"/>
              <w:spacing w:before="20" w:after="20"/>
              <w:jc w:val="left"/>
            </w:pPr>
            <w:r>
              <w:rPr>
                <w:sz w:val="18"/>
              </w:rPr>
              <w:t>4</w:t>
            </w:r>
          </w:p>
        </w:tc>
        <w:tc>
          <w:tcPr>
            <w:tcW w:w="4820" w:type="dxa"/>
            <w:shd w:val="clear" w:color="auto" w:fill="EEF2F6"/>
          </w:tcPr>
          <w:p>
            <w:pPr>
              <w:pStyle w:val="Compact"/>
              <w:spacing w:before="20" w:after="20"/>
              <w:jc w:val="left"/>
            </w:pPr>
            <w:r>
              <w:rPr>
                <w:sz w:val="18"/>
              </w:rPr>
              <w:t>Hypothèses de travail</w:t>
            </w:r>
          </w:p>
        </w:tc>
        <w:tc>
          <w:tcPr>
            <w:tcW w:w="1104" w:type="dxa"/>
            <w:shd w:val="clear" w:color="auto" w:fill="EEF2F6"/>
          </w:tcPr>
          <w:p>
            <w:pPr>
              <w:pStyle w:val="Compact"/>
              <w:spacing w:before="20" w:after="20"/>
              <w:jc w:val="left"/>
            </w:pPr>
            <w:r>
              <w:rPr>
                <w:sz w:val="18"/>
              </w:rPr>
              <w:t>§3.1</w:t>
            </w:r>
          </w:p>
        </w:tc>
        <w:tc>
          <w:tcPr>
            <w:tcW w:w="2943" w:type="dxa"/>
            <w:shd w:val="clear" w:color="auto" w:fill="EEF2F6"/>
          </w:tcPr>
          <w:p>
            <w:pPr>
              <w:pStyle w:val="Compact"/>
              <w:spacing w:before="20" w:after="20"/>
              <w:jc w:val="left"/>
            </w:pPr>
            <w:r>
              <w:rPr>
                <w:sz w:val="18"/>
              </w:rPr>
              <w:t>Responsable continuité</w:t>
            </w:r>
          </w:p>
        </w:tc>
      </w:tr>
      <w:tr>
        <w:trPr>
          <w:cantSplit w:val="true"/>
        </w:trPr>
        <w:tc>
          <w:tcPr>
            <w:tcW w:w="544" w:type="dxa"/>
          </w:tcPr>
          <w:p>
            <w:pPr>
              <w:pStyle w:val="Compact"/>
              <w:spacing w:before="20" w:after="20"/>
              <w:jc w:val="left"/>
            </w:pPr>
            <w:r>
              <w:rPr>
                <w:sz w:val="18"/>
              </w:rPr>
              <w:t>5</w:t>
            </w:r>
          </w:p>
        </w:tc>
        <w:tc>
          <w:tcPr>
            <w:tcW w:w="4820" w:type="dxa"/>
          </w:tcPr>
          <w:p>
            <w:pPr>
              <w:pStyle w:val="Compact"/>
              <w:spacing w:before="20" w:after="20"/>
              <w:jc w:val="left"/>
            </w:pPr>
            <w:r>
              <w:rPr>
                <w:sz w:val="18"/>
              </w:rPr>
              <w:t>Critères et seuils de l’échelle d’impact</w:t>
            </w:r>
          </w:p>
        </w:tc>
        <w:tc>
          <w:tcPr>
            <w:tcW w:w="1104" w:type="dxa"/>
          </w:tcPr>
          <w:p>
            <w:pPr>
              <w:pStyle w:val="Compact"/>
              <w:spacing w:before="20" w:after="20"/>
              <w:jc w:val="left"/>
            </w:pPr>
            <w:r>
              <w:rPr>
                <w:sz w:val="18"/>
              </w:rPr>
              <w:t>§3.2</w:t>
            </w:r>
          </w:p>
        </w:tc>
        <w:tc>
          <w:tcPr>
            <w:tcW w:w="2943" w:type="dxa"/>
          </w:tcPr>
          <w:p>
            <w:pPr>
              <w:pStyle w:val="Compact"/>
              <w:spacing w:before="20" w:after="20"/>
              <w:jc w:val="left"/>
            </w:pPr>
            <w:r>
              <w:rPr>
                <w:sz w:val="18"/>
              </w:rPr>
              <w:t>Commanditaire, gestion des risques</w:t>
            </w:r>
          </w:p>
        </w:tc>
      </w:tr>
      <w:tr>
        <w:trPr>
          <w:cantSplit w:val="true"/>
        </w:trPr>
        <w:tc>
          <w:tcPr>
            <w:tcW w:w="544" w:type="dxa"/>
            <w:shd w:val="clear" w:color="auto" w:fill="EEF2F6"/>
          </w:tcPr>
          <w:p>
            <w:pPr>
              <w:pStyle w:val="Compact"/>
              <w:spacing w:before="20" w:after="20"/>
              <w:jc w:val="left"/>
            </w:pPr>
            <w:r>
              <w:rPr>
                <w:sz w:val="18"/>
              </w:rPr>
              <w:t>6</w:t>
            </w:r>
          </w:p>
        </w:tc>
        <w:tc>
          <w:tcPr>
            <w:tcW w:w="4820" w:type="dxa"/>
            <w:shd w:val="clear" w:color="auto" w:fill="EEF2F6"/>
          </w:tcPr>
          <w:p>
            <w:pPr>
              <w:pStyle w:val="Compact"/>
              <w:spacing w:before="20" w:after="20"/>
              <w:jc w:val="left"/>
            </w:pPr>
            <w:r>
              <w:rPr>
                <w:sz w:val="18"/>
              </w:rPr>
              <w:t>Horizons d’analyse, dont l’horizon d’une heure</w:t>
            </w:r>
          </w:p>
        </w:tc>
        <w:tc>
          <w:tcPr>
            <w:tcW w:w="1104" w:type="dxa"/>
            <w:shd w:val="clear" w:color="auto" w:fill="EEF2F6"/>
          </w:tcPr>
          <w:p>
            <w:pPr>
              <w:pStyle w:val="Compact"/>
              <w:spacing w:before="20" w:after="20"/>
              <w:jc w:val="left"/>
            </w:pPr>
            <w:r>
              <w:rPr>
                <w:sz w:val="18"/>
              </w:rPr>
              <w:t>§3.3</w:t>
            </w:r>
          </w:p>
        </w:tc>
        <w:tc>
          <w:tcPr>
            <w:tcW w:w="2943" w:type="dxa"/>
            <w:shd w:val="clear" w:color="auto" w:fill="EEF2F6"/>
          </w:tcPr>
          <w:p>
            <w:pPr>
              <w:pStyle w:val="Compact"/>
              <w:spacing w:before="20" w:after="20"/>
              <w:jc w:val="left"/>
            </w:pPr>
            <w:r>
              <w:rPr>
                <w:sz w:val="18"/>
              </w:rPr>
              <w:t>Responsable continuité</w:t>
            </w:r>
          </w:p>
        </w:tc>
      </w:tr>
      <w:tr>
        <w:trPr>
          <w:cantSplit w:val="true"/>
        </w:trPr>
        <w:tc>
          <w:tcPr>
            <w:tcW w:w="544" w:type="dxa"/>
          </w:tcPr>
          <w:p>
            <w:pPr>
              <w:pStyle w:val="Compact"/>
              <w:spacing w:before="20" w:after="20"/>
              <w:jc w:val="left"/>
            </w:pPr>
            <w:r>
              <w:rPr>
                <w:sz w:val="18"/>
              </w:rPr>
              <w:t>7</w:t>
            </w:r>
          </w:p>
        </w:tc>
        <w:tc>
          <w:tcPr>
            <w:tcW w:w="4820" w:type="dxa"/>
          </w:tcPr>
          <w:p>
            <w:pPr>
              <w:pStyle w:val="Compact"/>
              <w:spacing w:before="20" w:after="20"/>
              <w:jc w:val="left"/>
            </w:pPr>
            <w:r>
              <w:rPr>
                <w:sz w:val="18"/>
              </w:rPr>
              <w:t>Grille de ratio RTO / DMIA</w:t>
            </w:r>
          </w:p>
        </w:tc>
        <w:tc>
          <w:tcPr>
            <w:tcW w:w="1104" w:type="dxa"/>
          </w:tcPr>
          <w:p>
            <w:pPr>
              <w:pStyle w:val="Compact"/>
              <w:spacing w:before="20" w:after="20"/>
              <w:jc w:val="left"/>
            </w:pPr>
            <w:r>
              <w:rPr>
                <w:sz w:val="18"/>
              </w:rPr>
              <w:t>§3.6</w:t>
            </w:r>
          </w:p>
        </w:tc>
        <w:tc>
          <w:tcPr>
            <w:tcW w:w="2943" w:type="dxa"/>
          </w:tcPr>
          <w:p>
            <w:pPr>
              <w:pStyle w:val="Compact"/>
              <w:spacing w:before="20" w:after="20"/>
              <w:jc w:val="left"/>
            </w:pPr>
            <w:r>
              <w:rPr>
                <w:sz w:val="18"/>
              </w:rPr>
              <w:t>Responsable continuité</w:t>
            </w:r>
          </w:p>
        </w:tc>
      </w:tr>
      <w:tr>
        <w:trPr>
          <w:cantSplit w:val="true"/>
        </w:trPr>
        <w:tc>
          <w:tcPr>
            <w:tcW w:w="544" w:type="dxa"/>
            <w:shd w:val="clear" w:color="auto" w:fill="EEF2F6"/>
          </w:tcPr>
          <w:p>
            <w:pPr>
              <w:pStyle w:val="Compact"/>
              <w:spacing w:before="20" w:after="20"/>
              <w:jc w:val="left"/>
            </w:pPr>
            <w:r>
              <w:rPr>
                <w:sz w:val="18"/>
              </w:rPr>
              <w:t>8</w:t>
            </w:r>
          </w:p>
        </w:tc>
        <w:tc>
          <w:tcPr>
            <w:tcW w:w="4820" w:type="dxa"/>
            <w:shd w:val="clear" w:color="auto" w:fill="EEF2F6"/>
          </w:tcPr>
          <w:p>
            <w:pPr>
              <w:pStyle w:val="Compact"/>
              <w:spacing w:before="20" w:after="20"/>
              <w:jc w:val="left"/>
            </w:pPr>
            <w:r>
              <w:rPr>
                <w:sz w:val="18"/>
              </w:rPr>
              <w:t>Liste des services et critères de priorité</w:t>
            </w:r>
          </w:p>
        </w:tc>
        <w:tc>
          <w:tcPr>
            <w:tcW w:w="1104" w:type="dxa"/>
            <w:shd w:val="clear" w:color="auto" w:fill="EEF2F6"/>
          </w:tcPr>
          <w:p>
            <w:pPr>
              <w:pStyle w:val="Compact"/>
              <w:spacing w:before="20" w:after="20"/>
              <w:jc w:val="left"/>
            </w:pPr>
            <w:r>
              <w:rPr>
                <w:sz w:val="18"/>
              </w:rPr>
              <w:t>§4</w:t>
            </w:r>
          </w:p>
        </w:tc>
        <w:tc>
          <w:tcPr>
            <w:tcW w:w="2943" w:type="dxa"/>
            <w:shd w:val="clear" w:color="auto" w:fill="EEF2F6"/>
          </w:tcPr>
          <w:p>
            <w:pPr>
              <w:pStyle w:val="Compact"/>
              <w:spacing w:before="20" w:after="20"/>
              <w:jc w:val="left"/>
            </w:pPr>
            <w:r>
              <w:rPr>
                <w:sz w:val="18"/>
              </w:rPr>
              <w:t>Direction, propriétaires métier</w:t>
            </w:r>
          </w:p>
        </w:tc>
      </w:tr>
      <w:tr>
        <w:trPr>
          <w:cantSplit w:val="true"/>
        </w:trPr>
        <w:tc>
          <w:tcPr>
            <w:tcW w:w="544" w:type="dxa"/>
          </w:tcPr>
          <w:p>
            <w:pPr>
              <w:pStyle w:val="Compact"/>
              <w:spacing w:before="20" w:after="20"/>
              <w:jc w:val="left"/>
            </w:pPr>
            <w:r>
              <w:rPr>
                <w:sz w:val="18"/>
              </w:rPr>
              <w:t>9</w:t>
            </w:r>
          </w:p>
        </w:tc>
        <w:tc>
          <w:tcPr>
            <w:tcW w:w="4820" w:type="dxa"/>
          </w:tcPr>
          <w:p>
            <w:pPr>
              <w:pStyle w:val="Compact"/>
              <w:spacing w:before="20" w:after="20"/>
              <w:jc w:val="left"/>
            </w:pPr>
            <w:r>
              <w:rPr>
                <w:sz w:val="18"/>
              </w:rPr>
              <w:t>Fiches d’activité</w:t>
            </w:r>
          </w:p>
        </w:tc>
        <w:tc>
          <w:tcPr>
            <w:tcW w:w="1104" w:type="dxa"/>
          </w:tcPr>
          <w:p>
            <w:pPr>
              <w:pStyle w:val="Compact"/>
              <w:spacing w:before="20" w:after="20"/>
              <w:jc w:val="left"/>
            </w:pPr>
            <w:r>
              <w:rPr>
                <w:sz w:val="18"/>
              </w:rPr>
              <w:t>§5</w:t>
            </w:r>
          </w:p>
        </w:tc>
        <w:tc>
          <w:tcPr>
            <w:tcW w:w="2943" w:type="dxa"/>
          </w:tcPr>
          <w:p>
            <w:pPr>
              <w:pStyle w:val="Compact"/>
              <w:spacing w:before="20" w:after="20"/>
              <w:jc w:val="left"/>
            </w:pPr>
            <w:r>
              <w:rPr>
                <w:sz w:val="18"/>
              </w:rPr>
              <w:t>Responsables d’activité</w:t>
            </w:r>
          </w:p>
        </w:tc>
      </w:tr>
      <w:tr>
        <w:trPr>
          <w:cantSplit w:val="true"/>
        </w:trPr>
        <w:tc>
          <w:tcPr>
            <w:tcW w:w="544" w:type="dxa"/>
            <w:shd w:val="clear" w:color="auto" w:fill="EEF2F6"/>
          </w:tcPr>
          <w:p>
            <w:pPr>
              <w:pStyle w:val="Compact"/>
              <w:spacing w:before="20" w:after="20"/>
              <w:jc w:val="left"/>
            </w:pPr>
            <w:r>
              <w:rPr>
                <w:sz w:val="18"/>
              </w:rPr>
              <w:t>10</w:t>
            </w:r>
          </w:p>
        </w:tc>
        <w:tc>
          <w:tcPr>
            <w:tcW w:w="4820" w:type="dxa"/>
            <w:shd w:val="clear" w:color="auto" w:fill="EEF2F6"/>
          </w:tcPr>
          <w:p>
            <w:pPr>
              <w:pStyle w:val="Compact"/>
              <w:spacing w:before="20" w:after="20"/>
              <w:jc w:val="left"/>
            </w:pPr>
            <w:r>
              <w:rPr>
                <w:sz w:val="18"/>
              </w:rPr>
              <w:t>Registre des ressources</w:t>
            </w:r>
          </w:p>
        </w:tc>
        <w:tc>
          <w:tcPr>
            <w:tcW w:w="1104" w:type="dxa"/>
            <w:shd w:val="clear" w:color="auto" w:fill="EEF2F6"/>
          </w:tcPr>
          <w:p>
            <w:pPr>
              <w:pStyle w:val="Compact"/>
              <w:spacing w:before="20" w:after="20"/>
              <w:jc w:val="left"/>
            </w:pPr>
            <w:r>
              <w:rPr>
                <w:sz w:val="18"/>
              </w:rPr>
              <w:t>§6.1</w:t>
            </w:r>
          </w:p>
        </w:tc>
        <w:tc>
          <w:tcPr>
            <w:tcW w:w="2943" w:type="dxa"/>
            <w:shd w:val="clear" w:color="auto" w:fill="EEF2F6"/>
          </w:tcPr>
          <w:p>
            <w:pPr>
              <w:pStyle w:val="Compact"/>
              <w:spacing w:before="20" w:after="20"/>
              <w:jc w:val="left"/>
            </w:pPr>
            <w:r>
              <w:rPr>
                <w:sz w:val="18"/>
              </w:rPr>
              <w:t>Responsable continuité, DSI</w:t>
            </w:r>
          </w:p>
        </w:tc>
      </w:tr>
      <w:tr>
        <w:trPr>
          <w:cantSplit w:val="true"/>
        </w:trPr>
        <w:tc>
          <w:tcPr>
            <w:tcW w:w="544" w:type="dxa"/>
          </w:tcPr>
          <w:p>
            <w:pPr>
              <w:pStyle w:val="Compact"/>
              <w:spacing w:before="20" w:after="20"/>
              <w:jc w:val="left"/>
            </w:pPr>
            <w:r>
              <w:rPr>
                <w:sz w:val="18"/>
              </w:rPr>
              <w:t>11</w:t>
            </w:r>
          </w:p>
        </w:tc>
        <w:tc>
          <w:tcPr>
            <w:tcW w:w="4820" w:type="dxa"/>
          </w:tcPr>
          <w:p>
            <w:pPr>
              <w:pStyle w:val="Compact"/>
              <w:spacing w:before="20" w:after="20"/>
              <w:jc w:val="left"/>
            </w:pPr>
            <w:r>
              <w:rPr>
                <w:sz w:val="18"/>
              </w:rPr>
              <w:t>Capacités constatées des ressources</w:t>
            </w:r>
          </w:p>
        </w:tc>
        <w:tc>
          <w:tcPr>
            <w:tcW w:w="1104" w:type="dxa"/>
          </w:tcPr>
          <w:p>
            <w:pPr>
              <w:pStyle w:val="Compact"/>
              <w:spacing w:before="20" w:after="20"/>
              <w:jc w:val="left"/>
            </w:pPr>
            <w:r>
              <w:rPr>
                <w:sz w:val="18"/>
              </w:rPr>
              <w:t>§6.3</w:t>
            </w:r>
          </w:p>
        </w:tc>
        <w:tc>
          <w:tcPr>
            <w:tcW w:w="2943" w:type="dxa"/>
          </w:tcPr>
          <w:p>
            <w:pPr>
              <w:pStyle w:val="Compact"/>
              <w:spacing w:before="20" w:after="20"/>
              <w:jc w:val="left"/>
            </w:pPr>
            <w:r>
              <w:rPr>
                <w:sz w:val="18"/>
              </w:rPr>
              <w:t>DSI, achats</w:t>
            </w:r>
          </w:p>
        </w:tc>
      </w:tr>
      <w:tr>
        <w:trPr>
          <w:cantSplit w:val="true"/>
        </w:trPr>
        <w:tc>
          <w:tcPr>
            <w:tcW w:w="544" w:type="dxa"/>
            <w:shd w:val="clear" w:color="auto" w:fill="EEF2F6"/>
          </w:tcPr>
          <w:p>
            <w:pPr>
              <w:pStyle w:val="Compact"/>
              <w:spacing w:before="20" w:after="20"/>
              <w:jc w:val="left"/>
            </w:pPr>
            <w:r>
              <w:rPr>
                <w:sz w:val="18"/>
              </w:rPr>
              <w:t>12</w:t>
            </w:r>
          </w:p>
        </w:tc>
        <w:tc>
          <w:tcPr>
            <w:tcW w:w="4820" w:type="dxa"/>
            <w:shd w:val="clear" w:color="auto" w:fill="EEF2F6"/>
          </w:tcPr>
          <w:p>
            <w:pPr>
              <w:pStyle w:val="Compact"/>
              <w:spacing w:before="20" w:after="20"/>
              <w:jc w:val="left"/>
            </w:pPr>
            <w:r>
              <w:rPr>
                <w:sz w:val="18"/>
              </w:rPr>
              <w:t>Engagements de continuité des prestataires</w:t>
            </w:r>
          </w:p>
        </w:tc>
        <w:tc>
          <w:tcPr>
            <w:tcW w:w="1104" w:type="dxa"/>
            <w:shd w:val="clear" w:color="auto" w:fill="EEF2F6"/>
          </w:tcPr>
          <w:p>
            <w:pPr>
              <w:pStyle w:val="Compact"/>
              <w:spacing w:before="20" w:after="20"/>
              <w:jc w:val="left"/>
            </w:pPr>
            <w:r>
              <w:rPr>
                <w:sz w:val="18"/>
              </w:rPr>
              <w:t>§6.3</w:t>
            </w:r>
          </w:p>
        </w:tc>
        <w:tc>
          <w:tcPr>
            <w:tcW w:w="2943" w:type="dxa"/>
            <w:shd w:val="clear" w:color="auto" w:fill="EEF2F6"/>
          </w:tcPr>
          <w:p>
            <w:pPr>
              <w:pStyle w:val="Compact"/>
              <w:spacing w:before="20" w:after="20"/>
              <w:jc w:val="left"/>
            </w:pPr>
            <w:r>
              <w:rPr>
                <w:sz w:val="18"/>
              </w:rPr>
              <w:t>Achats, gestion des tiers</w:t>
            </w:r>
          </w:p>
        </w:tc>
      </w:tr>
      <w:tr>
        <w:trPr>
          <w:cantSplit w:val="true"/>
        </w:trPr>
        <w:tc>
          <w:tcPr>
            <w:tcW w:w="544" w:type="dxa"/>
          </w:tcPr>
          <w:p>
            <w:pPr>
              <w:pStyle w:val="Compact"/>
              <w:spacing w:before="20" w:after="20"/>
              <w:jc w:val="left"/>
            </w:pPr>
            <w:r>
              <w:rPr>
                <w:sz w:val="18"/>
              </w:rPr>
              <w:t>13</w:t>
            </w:r>
          </w:p>
        </w:tc>
        <w:tc>
          <w:tcPr>
            <w:tcW w:w="4820" w:type="dxa"/>
          </w:tcPr>
          <w:p>
            <w:pPr>
              <w:pStyle w:val="Compact"/>
              <w:spacing w:before="20" w:after="20"/>
              <w:jc w:val="left"/>
            </w:pPr>
            <w:r>
              <w:rPr>
                <w:sz w:val="18"/>
              </w:rPr>
              <w:t>Classes de criticité</w:t>
            </w:r>
          </w:p>
        </w:tc>
        <w:tc>
          <w:tcPr>
            <w:tcW w:w="1104" w:type="dxa"/>
          </w:tcPr>
          <w:p>
            <w:pPr>
              <w:pStyle w:val="Compact"/>
              <w:spacing w:before="20" w:after="20"/>
              <w:jc w:val="left"/>
            </w:pPr>
            <w:r>
              <w:rPr>
                <w:sz w:val="18"/>
              </w:rPr>
              <w:t>§7.1</w:t>
            </w:r>
          </w:p>
        </w:tc>
        <w:tc>
          <w:tcPr>
            <w:tcW w:w="2943" w:type="dxa"/>
          </w:tcPr>
          <w:p>
            <w:pPr>
              <w:pStyle w:val="Compact"/>
              <w:spacing w:before="20" w:after="20"/>
              <w:jc w:val="left"/>
            </w:pPr>
            <w:r>
              <w:rPr>
                <w:sz w:val="18"/>
              </w:rPr>
              <w:t>Responsable continuité</w:t>
            </w:r>
          </w:p>
        </w:tc>
      </w:tr>
      <w:tr>
        <w:trPr>
          <w:cantSplit w:val="true"/>
        </w:trPr>
        <w:tc>
          <w:tcPr>
            <w:tcW w:w="544" w:type="dxa"/>
            <w:shd w:val="clear" w:color="auto" w:fill="EEF2F6"/>
          </w:tcPr>
          <w:p>
            <w:pPr>
              <w:pStyle w:val="Compact"/>
              <w:spacing w:before="20" w:after="20"/>
              <w:jc w:val="left"/>
            </w:pPr>
            <w:r>
              <w:rPr>
                <w:sz w:val="18"/>
              </w:rPr>
              <w:t>14</w:t>
            </w:r>
          </w:p>
        </w:tc>
        <w:tc>
          <w:tcPr>
            <w:tcW w:w="4820" w:type="dxa"/>
            <w:shd w:val="clear" w:color="auto" w:fill="EEF2F6"/>
          </w:tcPr>
          <w:p>
            <w:pPr>
              <w:pStyle w:val="Compact"/>
              <w:spacing w:before="20" w:after="20"/>
              <w:jc w:val="left"/>
            </w:pPr>
            <w:r>
              <w:rPr>
                <w:sz w:val="18"/>
              </w:rPr>
              <w:t>Seuil du contrôle de répartition</w:t>
            </w:r>
          </w:p>
        </w:tc>
        <w:tc>
          <w:tcPr>
            <w:tcW w:w="1104" w:type="dxa"/>
            <w:shd w:val="clear" w:color="auto" w:fill="EEF2F6"/>
          </w:tcPr>
          <w:p>
            <w:pPr>
              <w:pStyle w:val="Compact"/>
              <w:spacing w:before="20" w:after="20"/>
              <w:jc w:val="left"/>
            </w:pPr>
            <w:r>
              <w:rPr>
                <w:sz w:val="18"/>
              </w:rPr>
              <w:t>§7.2</w:t>
            </w:r>
          </w:p>
        </w:tc>
        <w:tc>
          <w:tcPr>
            <w:tcW w:w="2943" w:type="dxa"/>
            <w:shd w:val="clear" w:color="auto" w:fill="EEF2F6"/>
          </w:tcPr>
          <w:p>
            <w:pPr>
              <w:pStyle w:val="Compact"/>
              <w:spacing w:before="20" w:after="20"/>
              <w:jc w:val="left"/>
            </w:pPr>
            <w:r>
              <w:rPr>
                <w:sz w:val="18"/>
              </w:rPr>
              <w:t>Commanditaire</w:t>
            </w:r>
          </w:p>
        </w:tc>
      </w:tr>
      <w:tr>
        <w:trPr>
          <w:cantSplit w:val="true"/>
        </w:trPr>
        <w:tc>
          <w:tcPr>
            <w:tcW w:w="544" w:type="dxa"/>
          </w:tcPr>
          <w:p>
            <w:pPr>
              <w:pStyle w:val="Compact"/>
              <w:spacing w:before="20" w:after="20"/>
              <w:jc w:val="left"/>
            </w:pPr>
            <w:r>
              <w:rPr>
                <w:sz w:val="18"/>
              </w:rPr>
              <w:t>15</w:t>
            </w:r>
          </w:p>
        </w:tc>
        <w:tc>
          <w:tcPr>
            <w:tcW w:w="4820" w:type="dxa"/>
          </w:tcPr>
          <w:p>
            <w:pPr>
              <w:pStyle w:val="Compact"/>
              <w:spacing w:before="20" w:after="20"/>
              <w:jc w:val="left"/>
            </w:pPr>
            <w:r>
              <w:rPr>
                <w:sz w:val="18"/>
              </w:rPr>
              <w:t>Traitement des écarts</w:t>
            </w:r>
          </w:p>
        </w:tc>
        <w:tc>
          <w:tcPr>
            <w:tcW w:w="1104" w:type="dxa"/>
          </w:tcPr>
          <w:p>
            <w:pPr>
              <w:pStyle w:val="Compact"/>
              <w:spacing w:before="20" w:after="20"/>
              <w:jc w:val="left"/>
            </w:pPr>
            <w:r>
              <w:rPr>
                <w:sz w:val="18"/>
              </w:rPr>
              <w:t>§7.3</w:t>
            </w:r>
          </w:p>
        </w:tc>
        <w:tc>
          <w:tcPr>
            <w:tcW w:w="2943" w:type="dxa"/>
          </w:tcPr>
          <w:p>
            <w:pPr>
              <w:pStyle w:val="Compact"/>
              <w:spacing w:before="20" w:after="20"/>
              <w:jc w:val="left"/>
            </w:pPr>
            <w:r>
              <w:rPr>
                <w:sz w:val="18"/>
              </w:rPr>
              <w:t>Direction</w:t>
            </w:r>
          </w:p>
        </w:tc>
      </w:tr>
      <w:tr>
        <w:trPr>
          <w:cantSplit w:val="true"/>
        </w:trPr>
        <w:tc>
          <w:tcPr>
            <w:tcW w:w="544" w:type="dxa"/>
            <w:shd w:val="clear" w:color="auto" w:fill="EEF2F6"/>
          </w:tcPr>
          <w:p>
            <w:pPr>
              <w:pStyle w:val="Compact"/>
              <w:spacing w:before="20" w:after="20"/>
              <w:jc w:val="left"/>
            </w:pPr>
            <w:r>
              <w:rPr>
                <w:sz w:val="18"/>
              </w:rPr>
              <w:t>16</w:t>
            </w:r>
          </w:p>
        </w:tc>
        <w:tc>
          <w:tcPr>
            <w:tcW w:w="4820" w:type="dxa"/>
            <w:shd w:val="clear" w:color="auto" w:fill="EEF2F6"/>
          </w:tcPr>
          <w:p>
            <w:pPr>
              <w:pStyle w:val="Compact"/>
              <w:spacing w:before="20" w:after="20"/>
              <w:jc w:val="left"/>
            </w:pPr>
            <w:r>
              <w:rPr>
                <w:sz w:val="18"/>
              </w:rPr>
              <w:t>Classification et diffusion</w:t>
            </w:r>
          </w:p>
        </w:tc>
        <w:tc>
          <w:tcPr>
            <w:tcW w:w="1104" w:type="dxa"/>
            <w:shd w:val="clear" w:color="auto" w:fill="EEF2F6"/>
          </w:tcPr>
          <w:p>
            <w:pPr>
              <w:pStyle w:val="Compact"/>
              <w:spacing w:before="20" w:after="20"/>
              <w:jc w:val="left"/>
            </w:pPr>
            <w:r>
              <w:rPr>
                <w:sz w:val="18"/>
              </w:rPr>
              <w:t>§8.2</w:t>
            </w:r>
          </w:p>
        </w:tc>
        <w:tc>
          <w:tcPr>
            <w:tcW w:w="2943" w:type="dxa"/>
            <w:shd w:val="clear" w:color="auto" w:fill="EEF2F6"/>
          </w:tcPr>
          <w:p>
            <w:pPr>
              <w:pStyle w:val="Compact"/>
              <w:spacing w:before="20" w:after="20"/>
              <w:jc w:val="left"/>
            </w:pPr>
            <w:r>
              <w:rPr>
                <w:sz w:val="18"/>
              </w:rPr>
              <w:t>RSSI</w:t>
            </w:r>
          </w:p>
        </w:tc>
      </w:tr>
      <w:tr>
        <w:trPr>
          <w:cantSplit w:val="true"/>
        </w:trPr>
        <w:tc>
          <w:tcPr>
            <w:tcW w:w="544" w:type="dxa"/>
          </w:tcPr>
          <w:p>
            <w:pPr>
              <w:pStyle w:val="Compact"/>
              <w:spacing w:before="20" w:after="20"/>
              <w:jc w:val="left"/>
            </w:pPr>
            <w:r>
              <w:rPr>
                <w:sz w:val="18"/>
              </w:rPr>
              <w:t>17</w:t>
            </w:r>
          </w:p>
        </w:tc>
        <w:tc>
          <w:tcPr>
            <w:tcW w:w="4820" w:type="dxa"/>
          </w:tcPr>
          <w:p>
            <w:pPr>
              <w:pStyle w:val="Compact"/>
              <w:spacing w:before="20" w:after="20"/>
              <w:jc w:val="left"/>
            </w:pPr>
            <w:r>
              <w:rPr>
                <w:sz w:val="18"/>
              </w:rPr>
              <w:t>Date de la prochaine revue</w:t>
            </w:r>
          </w:p>
        </w:tc>
        <w:tc>
          <w:tcPr>
            <w:tcW w:w="1104" w:type="dxa"/>
          </w:tcPr>
          <w:p>
            <w:pPr>
              <w:pStyle w:val="Compact"/>
              <w:spacing w:before="20" w:after="20"/>
              <w:jc w:val="left"/>
            </w:pPr>
            <w:r>
              <w:rPr>
                <w:sz w:val="18"/>
              </w:rPr>
              <w:t>§8.3</w:t>
            </w:r>
          </w:p>
        </w:tc>
        <w:tc>
          <w:tcPr>
            <w:tcW w:w="2943" w:type="dxa"/>
          </w:tcPr>
          <w:p>
            <w:pPr>
              <w:pStyle w:val="Compact"/>
              <w:spacing w:before="20" w:after="20"/>
              <w:jc w:val="left"/>
            </w:pPr>
            <w:r>
              <w:rPr>
                <w:sz w:val="18"/>
              </w:rPr>
              <w:t>Commanditaire</w:t>
            </w:r>
          </w:p>
        </w:tc>
      </w:tr>
      <w:tr>
        <w:trPr>
          <w:cantSplit w:val="true"/>
        </w:trPr>
        <w:tc>
          <w:tcPr>
            <w:tcW w:w="544" w:type="dxa"/>
            <w:shd w:val="clear" w:color="auto" w:fill="EEF2F6"/>
          </w:tcPr>
          <w:p>
            <w:pPr>
              <w:pStyle w:val="Compact"/>
              <w:spacing w:before="20" w:after="20"/>
              <w:jc w:val="left"/>
            </w:pPr>
            <w:r>
              <w:rPr>
                <w:sz w:val="18"/>
              </w:rPr>
              <w:t>18</w:t>
            </w:r>
          </w:p>
        </w:tc>
        <w:tc>
          <w:tcPr>
            <w:tcW w:w="4820" w:type="dxa"/>
            <w:shd w:val="clear" w:color="auto" w:fill="EEF2F6"/>
          </w:tcPr>
          <w:p>
            <w:pPr>
              <w:pStyle w:val="Compact"/>
              <w:spacing w:before="20" w:after="20"/>
              <w:jc w:val="left"/>
            </w:pPr>
            <w:r>
              <w:rPr>
                <w:sz w:val="18"/>
              </w:rPr>
              <w:t>Répartition des responsabilités</w:t>
            </w:r>
          </w:p>
        </w:tc>
        <w:tc>
          <w:tcPr>
            <w:tcW w:w="1104" w:type="dxa"/>
            <w:shd w:val="clear" w:color="auto" w:fill="EEF2F6"/>
          </w:tcPr>
          <w:p>
            <w:pPr>
              <w:pStyle w:val="Compact"/>
              <w:spacing w:before="20" w:after="20"/>
              <w:jc w:val="left"/>
            </w:pPr>
            <w:r>
              <w:rPr>
                <w:sz w:val="18"/>
              </w:rPr>
              <w:t>§8.5</w:t>
            </w:r>
          </w:p>
        </w:tc>
        <w:tc>
          <w:tcPr>
            <w:tcW w:w="2943" w:type="dxa"/>
            <w:shd w:val="clear" w:color="auto" w:fill="EEF2F6"/>
          </w:tcPr>
          <w:p>
            <w:pPr>
              <w:pStyle w:val="Compact"/>
              <w:spacing w:before="20" w:after="20"/>
              <w:jc w:val="left"/>
            </w:pPr>
            <w:r>
              <w:rPr>
                <w:sz w:val="18"/>
              </w:rPr>
              <w:t>Responsable continuité</w:t>
            </w:r>
          </w:p>
        </w:tc>
      </w:tr>
    </w:tbl>
    <w:p>
      <w:r>
        <w:pict>
          <v:rect style="width:0;height:1.5pt" o:hralign="center" o:hrstd="t" o:hr="t"/>
        </w:pict>
      </w:r>
    </w:p>
    <w:p>
      <w:pPr>
        <w:pStyle w:val="FirstParagraph"/>
      </w:pPr>
      <w:r>
        <w:rPr>
          <w:iCs/>
          <w:i/>
        </w:rPr>
        <w:t>Plan R — plan-r.org — Analyse d’impact sur l’activité, modèle de référence, version 1.0, 2026. Licence Creative Commons BY-NC-SA 4.0 : vous pouvez copier, adapter et diffuser ce modèle en citant la source, sans usage commercial, et en conservant la même licence. Ce modèle est fourni sans garantie ; son adaptation et sa validation relèvent de l’organisation qui l’utilise.</w:t>
      </w:r>
    </w:p>
    <w:bookmarkEnd w:id="70"/>
    <w:bookmarkEnd w:id="71"/>
    <w:sectPr>
      <w:headerReference r:id="rId9" w:type="default"/>
      <w:footerReference r:id="rId10" w:type="default"/>
      <w:pgSz w:h="16838" w:w="11906"/>
      <w:pgMar w:bottom="1134" w:left="1247" w:right="1247"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3D4A5C"/>
        <w:sz w:val="16"/>
      </w:rPr>
      <w:t xml:space="preserve">plan-r.org — CC BY-NC-SA 4.0 — page </w:t>
    </w:r>
    <w:r>
      <w:rPr>
        <w:color w:val="3D4A5C"/>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Plan R — Modèle d’analyse d’impact sur l’activité (BIA)</w:t>
    </w:r>
    <w:r>
      <w:rPr>
        <w:rFonts w:ascii="Calibri" w:hAnsi="Calibri"/>
        <w:color w:val="3D4A5C"/>
        <w:sz w:val="16"/>
      </w:rPr>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FR"/>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cs="Calibri" w:eastAsia="Calibri" w:hAnsi="Calibri"/>
      <w:color w:val="222222"/>
      <w:sz w:val="21"/>
    </w:rPr>
  </w:style>
  <w:style w:styleId="BodyText" w:type="paragraph">
    <w:name w:val="Body Text"/>
    <w:basedOn w:val="Normal"/>
    <w:link w:val="BodyTextChar"/>
    <w:pPr>
      <w:spacing w:after="100" w:before="180" w:line="269" w:lineRule="auto"/>
    </w:pPr>
    <w:qFormat/>
    <w:rPr>
      <w:rFonts w:ascii="Calibri" w:cs="Calibri" w:eastAsia="Calibri" w:hAnsi="Calibri"/>
      <w:color w:val="222222"/>
      <w:sz w:val="21"/>
    </w:rPr>
  </w:style>
  <w:style w:customStyle="1" w:styleId="FirstParagraph" w:type="paragraph">
    <w:name w:val="First Paragraph"/>
    <w:basedOn w:val="BodyText"/>
    <w:next w:val="BodyText"/>
    <w:qFormat/>
    <w:pPr>
      <w:spacing w:after="100" w:line="269" w:lineRule="auto"/>
    </w:pPr>
    <w:rPr>
      <w:rFonts w:ascii="Calibri" w:cs="Calibri" w:eastAsia="Calibri" w:hAnsi="Calibri"/>
      <w:color w:val="222222"/>
      <w:sz w:val="21"/>
    </w:rPr>
  </w:style>
  <w:style w:customStyle="1" w:styleId="Compact" w:type="paragraph">
    <w:name w:val="Compact"/>
    <w:basedOn w:val="BodyText"/>
    <w:qFormat/>
    <w:pPr>
      <w:spacing w:after="100" w:before="36" w:line="269" w:lineRule="auto"/>
    </w:pPr>
    <w:rPr>
      <w:rFonts w:ascii="Calibri" w:cs="Calibri" w:eastAsia="Calibri" w:hAnsi="Calibri"/>
      <w:color w:val="222222"/>
      <w:sz w:val="21"/>
    </w:rPr>
  </w:style>
  <w:style w:styleId="Title" w:type="paragraph">
    <w:name w:val="Title"/>
    <w:basedOn w:val="Normal"/>
    <w:next w:val="BodyText"/>
    <w:qFormat/>
    <w:pPr>
      <w:keepNext/>
      <w:keepLines/>
      <w:spacing w:after="240" w:before="480"/>
      <w:jc w:val="center"/>
    </w:pPr>
    <w:rPr>
      <w:rFonts w:ascii="Calibri" w:cs="Calibri" w:eastAsia="Calibri" w:hAnsi="Calibri"/>
      <w:b/>
      <w:bCs/>
      <w:color w:val="1F3A5F"/>
      <w:sz w:val="48"/>
      <w:szCs w:val="36"/>
    </w:rPr>
  </w:style>
  <w:style w:styleId="Subtitle" w:type="paragraph">
    <w:name w:val="Subtitle"/>
    <w:basedOn w:val="Title"/>
    <w:next w:val="BodyText"/>
    <w:qFormat/>
    <w:pPr>
      <w:keepNext/>
      <w:keepLines/>
      <w:spacing w:after="240" w:before="240"/>
      <w:jc w:val="center"/>
    </w:pPr>
    <w:rPr>
      <w:rFonts w:ascii="Calibri" w:cs="Calibri" w:eastAsia="Calibri" w:hAnsi="Calibri"/>
      <w:i w:val="0"/>
      <w:color w:val="17696B"/>
      <w:sz w:val="28"/>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pageBreakBefore/>
      <w:spacing w:after="120" w:before="280"/>
      <w:outlineLvl w:val="0"/>
    </w:pPr>
    <w:rPr>
      <w:rFonts w:ascii="Calibri" w:cs="Calibri" w:eastAsia="Calibri" w:hAnsi="Calibri"/>
      <w:b/>
      <w:bCs/>
      <w:i w:val="0"/>
      <w:color w:val="1F3A5F"/>
      <w:sz w:val="34"/>
      <w:szCs w:val="32"/>
    </w:rPr>
  </w:style>
  <w:style w:styleId="Heading2" w:type="paragraph">
    <w:name w:val="Heading 2"/>
    <w:basedOn w:val="Normal"/>
    <w:next w:val="BodyText"/>
    <w:uiPriority w:val="9"/>
    <w:unhideWhenUsed/>
    <w:qFormat/>
    <w:pPr>
      <w:keepNext/>
      <w:keepLines/>
      <w:spacing w:after="120" w:before="280"/>
      <w:outlineLvl w:val="1"/>
    </w:pPr>
    <w:rPr>
      <w:rFonts w:ascii="Calibri" w:cs="Calibri" w:eastAsia="Calibri" w:hAnsi="Calibri"/>
      <w:b/>
      <w:bCs/>
      <w:i w:val="0"/>
      <w:color w:val="17696B"/>
      <w:sz w:val="27"/>
      <w:szCs w:val="28"/>
    </w:rPr>
  </w:style>
  <w:style w:styleId="Heading3" w:type="paragraph">
    <w:name w:val="Heading 3"/>
    <w:basedOn w:val="Normal"/>
    <w:next w:val="BodyText"/>
    <w:uiPriority w:val="9"/>
    <w:unhideWhenUsed/>
    <w:qFormat/>
    <w:pPr>
      <w:keepNext/>
      <w:keepLines/>
      <w:spacing w:after="120" w:before="200"/>
      <w:outlineLvl w:val="2"/>
    </w:pPr>
    <w:rPr>
      <w:rFonts w:ascii="Calibri" w:cs="Calibri" w:eastAsia="Calibri" w:hAnsi="Calibri"/>
      <w:b/>
      <w:bCs/>
      <w:i w:val="0"/>
      <w:color w:val="3D4A5C"/>
      <w:sz w:val="23"/>
      <w:szCs w:val="24"/>
    </w:rPr>
  </w:style>
  <w:style w:styleId="Heading4" w:type="paragraph">
    <w:name w:val="Heading 4"/>
    <w:basedOn w:val="Normal"/>
    <w:next w:val="BodyText"/>
    <w:uiPriority w:val="9"/>
    <w:unhideWhenUsed/>
    <w:qFormat/>
    <w:pPr>
      <w:keepNext/>
      <w:keepLines/>
      <w:spacing w:after="120" w:before="200"/>
      <w:outlineLvl w:val="3"/>
    </w:pPr>
    <w:rPr>
      <w:rFonts w:ascii="Calibri" w:cs="Calibri" w:eastAsia="Calibri" w:hAnsi="Calibri"/>
      <w:i w:val="0"/>
      <w:b/>
      <w:bCs/>
      <w:color w:val="3D4A5C"/>
      <w:sz w:val="21"/>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340" w:right="480"/>
      <w:pBdr>
        <w:left w:color="17696B" w:space="8" w:sz="18" w:val="single"/>
      </w:pBdr>
    </w:pPr>
    <w:rPr>
      <w:rFonts w:ascii="Calibri" w:cs="Calibri" w:eastAsia="Calibri" w:hAnsi="Calibri"/>
      <w:i w:val="0"/>
      <w:color w:val="1F3A5F"/>
      <w:sz w:val="21"/>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DejaVu Sans Mono" w:cs="DejaVu Sans Mono" w:eastAsia="DejaVu Sans Mono" w:hAnsi="DejaVu Sans Mono"/>
      <w:sz w:val="15"/>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d’impact sur l’activité (BIA) — modèle</dc:title>
  <dc:creator>Plan R</dc:creator>
  <dc:language>fr-FR</dc:language>
  <cp:keywords>BIA, analyse d'impact, continuité, PCA, DMIA, PRD, RTO, MBCO</cp:keywords>
  <dcterms:created xsi:type="dcterms:W3CDTF">2026-10-25T18:16:27Z</dcterms:created>
  <dcterms:modified xsi:type="dcterms:W3CDTF">2026-10-25T18:16:27Z</dcterms:modified>
  <dc:subject>Modèle de référence, licence CC BY-NC-SA 4.0</dc:subject>
  <dc:description/>
  <cp:lastModifiedBy>Plan R</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Modèle de référence — version marque blanche</vt:lpwstr>
  </property>
</Properties>
</file>