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Stratégie</w:t>
      </w:r>
      <w:r>
        <w:t xml:space="preserve"> </w:t>
      </w:r>
      <w:r>
        <w:t xml:space="preserve">de</w:t>
      </w:r>
      <w:r>
        <w:t xml:space="preserve"> </w:t>
      </w:r>
      <w:r>
        <w:t xml:space="preserve">sauvegarde,</w:t>
      </w:r>
      <w:r>
        <w:t xml:space="preserve"> </w:t>
      </w:r>
      <w:r>
        <w:t xml:space="preserve">de</w:t>
      </w:r>
      <w:r>
        <w:t xml:space="preserve"> </w:t>
      </w:r>
      <w:r>
        <w:t xml:space="preserve">restauration</w:t>
      </w:r>
      <w:r>
        <w:t xml:space="preserve"> </w:t>
      </w:r>
      <w:r>
        <w:t xml:space="preserve">et</w:t>
      </w:r>
      <w:r>
        <w:t xml:space="preserve"> </w:t>
      </w:r>
      <w:r>
        <w:t xml:space="preserve">de</w:t>
      </w:r>
      <w:r>
        <w:t xml:space="preserve"> </w:t>
      </w:r>
      <w:r>
        <w:t xml:space="preserve">reconstruction</w:t>
      </w:r>
    </w:p>
    <w:p>
      <w:pPr>
        <w:pStyle w:val="Subtitle"/>
      </w:pPr>
      <w:r>
        <w:t xml:space="preserve">Modèle</w:t>
      </w:r>
      <w:r>
        <w:t xml:space="preserve"> </w:t>
      </w:r>
      <w:r>
        <w:t xml:space="preserve">de</w:t>
      </w:r>
      <w:r>
        <w:t xml:space="preserve"> </w:t>
      </w:r>
      <w:r>
        <w:t xml:space="preserve">référence</w:t>
      </w:r>
      <w:r>
        <w:t xml:space="preserve"> </w:t>
      </w:r>
      <w:r>
        <w:t xml:space="preserve">—</w:t>
      </w:r>
      <w:r>
        <w:t xml:space="preserve"> </w:t>
      </w:r>
      <w:r>
        <w:t xml:space="preserve">version</w:t>
      </w:r>
      <w:r>
        <w:t xml:space="preserve"> </w:t>
      </w:r>
      <w:r>
        <w:t xml:space="preserve">marque</w:t>
      </w:r>
      <w:r>
        <w:t xml:space="preserve"> </w:t>
      </w:r>
      <w:r>
        <w:t xml:space="preserve">blanche</w:t>
      </w:r>
    </w:p>
    <w:p>
      <w:pPr>
        <w:pStyle w:val="FirstParagraph"/>
      </w:pPr>
      <w:r>
        <w:rPr>
          <w:iCs/>
          <w:i/>
        </w:rPr>
        <w:t xml:space="preserve">Publié par Plan R (plan-r.org) sous licence Creative Commons BY-NC-SA 4.0. Version 1.0 — 2026. Ce modèle est un point de départ : il ne dispense ni d'une analyse d'impact propre à l'organisation, ni d'une validation par ses instances.</w:t>
      </w:r>
    </w:p>
    <w:bookmarkStart w:id="23" w:name="fiche-de-contrôle-du-document"/>
    <w:p>
      <w:pPr>
        <w:pStyle w:val="Heading2"/>
      </w:pPr>
      <w:r>
        <w:t xml:space="preserve">Fiche de contrôle du document</w:t>
      </w:r>
    </w:p>
    <w:bookmarkStart w:id="20" w:name="caractéristiques"/>
    <w:p>
      <w:pPr>
        <w:pStyle w:val="Heading3"/>
      </w:pPr>
      <w:r>
        <w:t xml:space="preserve">Caractéristiques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922"/>
        <w:gridCol w:w="7489"/>
      </w:tblGrid>
      <w:tr>
        <w:trPr>
          <w:tblHeader w:val="true"/>
          <w:tblHeader w:val="true"/>
          <w:cantSplit w:val="true"/>
        </w:trPr>
        <w:tc>
          <w:tcPr>
            <w:tcW w:w="1922" w:type="dxa"/>
            <w:shd w:val="clear" w:color="auto" w:fill="1F3A5F"/>
          </w:tcPr>
          <w:p>
            <w:pPr>
              <w:pStyle w:val="Compact"/>
              <w:spacing w:after="20" w:before="20"/>
              <w:jc w:val="left"/>
            </w:pPr>
            <w:r>
              <w:rPr>
                <w:b/>
                <w:color w:val="FFFFFF"/>
                <w:sz w:val="18"/>
              </w:rPr>
              <w:t xml:space="preserve">Rubrique</w:t>
            </w:r>
          </w:p>
        </w:tc>
        <w:tc>
          <w:tcPr>
            <w:tcW w:w="7489" w:type="dxa"/>
            <w:shd w:val="clear" w:color="auto" w:fill="1F3A5F"/>
          </w:tcPr>
          <w:p>
            <w:pPr>
              <w:pStyle w:val="Compact"/>
              <w:spacing w:after="20" w:before="20"/>
              <w:jc w:val="left"/>
            </w:pPr>
            <w:r>
              <w:rPr>
                <w:b/>
                <w:color w:val="FFFFFF"/>
                <w:sz w:val="18"/>
              </w:rPr>
              <w:t xml:space="preserve">Valeur</w:t>
            </w:r>
          </w:p>
        </w:tc>
      </w:tr>
      <w:tr>
        <w:trPr>
          <w:cantSplit w:val="true"/>
        </w:trPr>
        <w:tc>
          <w:tcPr>
            <w:tcW w:w="1922" w:type="dxa"/>
          </w:tcPr>
          <w:p>
            <w:pPr>
              <w:pStyle w:val="Compact"/>
              <w:spacing w:after="20" w:before="20"/>
              <w:jc w:val="left"/>
            </w:pPr>
            <w:r>
              <w:rPr>
                <w:sz w:val="18"/>
              </w:rPr>
              <w:t xml:space="preserve">Identification</w:t>
            </w:r>
          </w:p>
        </w:tc>
        <w:tc>
          <w:tcPr>
            <w:tcW w:w="7489" w:type="dxa"/>
          </w:tcPr>
          <w:p>
            <w:pPr>
              <w:pStyle w:val="Compact"/>
              <w:spacing w:after="20" w:before="20"/>
              <w:jc w:val="left"/>
            </w:pPr>
            <w:r>
              <w:rPr>
                <w:rStyle w:val="VerbatimChar"/>
                <w:b/>
                <w:color w:val="8A5A00"/>
                <w:sz w:val="18"/>
              </w:rPr>
              <w:t xml:space="preserve">{{CODE_DOCUMENT}}</w:t>
            </w:r>
            <w:r>
              <w:rPr>
                <w:sz w:val="18"/>
              </w:rPr>
              <w:t xml:space="preserve"> </w:t>
            </w:r>
            <w:r>
              <w:rPr>
                <w:sz w:val="18"/>
              </w:rPr>
              <w:t xml:space="preserve">— Stratégie de sauvegarde, de restauration et de reconstruction</w:t>
            </w:r>
          </w:p>
        </w:tc>
      </w:tr>
      <w:tr>
        <w:trPr>
          <w:cantSplit w:val="true"/>
        </w:trPr>
        <w:tc>
          <w:tcPr>
            <w:tcW w:w="1922" w:type="dxa"/>
            <w:shd w:val="clear" w:color="auto" w:fill="EEF2F6"/>
          </w:tcPr>
          <w:p>
            <w:pPr>
              <w:pStyle w:val="Compact"/>
              <w:spacing w:after="20" w:before="20"/>
              <w:jc w:val="left"/>
            </w:pPr>
            <w:r>
              <w:rPr>
                <w:sz w:val="18"/>
              </w:rPr>
              <w:t xml:space="preserve">Objet</w:t>
            </w:r>
          </w:p>
        </w:tc>
        <w:tc>
          <w:tcPr>
            <w:tcW w:w="7489" w:type="dxa"/>
            <w:shd w:val="clear" w:color="auto" w:fill="EEF2F6"/>
          </w:tcPr>
          <w:p>
            <w:pPr>
              <w:pStyle w:val="Compact"/>
              <w:spacing w:after="20" w:before="20"/>
              <w:jc w:val="left"/>
            </w:pPr>
            <w:r>
              <w:rPr>
                <w:sz w:val="18"/>
              </w:rPr>
              <w:t xml:space="preserve">Cadre de gouvernance, d'engagements de service et de maîtrise des activités de sauvegarde, restauration et reconstruction du SI</w:t>
            </w:r>
          </w:p>
        </w:tc>
      </w:tr>
      <w:tr>
        <w:trPr>
          <w:cantSplit w:val="true"/>
        </w:trPr>
        <w:tc>
          <w:tcPr>
            <w:tcW w:w="1922" w:type="dxa"/>
          </w:tcPr>
          <w:p>
            <w:pPr>
              <w:pStyle w:val="Compact"/>
              <w:spacing w:after="20" w:before="20"/>
              <w:jc w:val="left"/>
            </w:pPr>
            <w:r>
              <w:rPr>
                <w:sz w:val="18"/>
              </w:rPr>
              <w:t xml:space="preserve">Version</w:t>
            </w:r>
          </w:p>
        </w:tc>
        <w:tc>
          <w:tcPr>
            <w:tcW w:w="7489" w:type="dxa"/>
          </w:tcPr>
          <w:p>
            <w:pPr>
              <w:pStyle w:val="Compact"/>
              <w:spacing w:after="20" w:before="20"/>
              <w:jc w:val="left"/>
            </w:pPr>
            <w:r>
              <w:rPr>
                <w:rStyle w:val="VerbatimChar"/>
                <w:b/>
                <w:color w:val="8A5A00"/>
                <w:sz w:val="18"/>
              </w:rPr>
              <w:t xml:space="preserve">{{VERSION}}</w:t>
            </w:r>
          </w:p>
        </w:tc>
      </w:tr>
      <w:tr>
        <w:trPr>
          <w:cantSplit w:val="true"/>
        </w:trPr>
        <w:tc>
          <w:tcPr>
            <w:tcW w:w="1922" w:type="dxa"/>
            <w:shd w:val="clear" w:color="auto" w:fill="EEF2F6"/>
          </w:tcPr>
          <w:p>
            <w:pPr>
              <w:pStyle w:val="Compact"/>
              <w:spacing w:after="20" w:before="20"/>
              <w:jc w:val="left"/>
            </w:pPr>
            <w:r>
              <w:rPr>
                <w:sz w:val="18"/>
              </w:rPr>
              <w:t xml:space="preserve">Classification</w:t>
            </w:r>
          </w:p>
        </w:tc>
        <w:tc>
          <w:tcPr>
            <w:tcW w:w="7489" w:type="dxa"/>
            <w:shd w:val="clear" w:color="auto" w:fill="EEF2F6"/>
          </w:tcPr>
          <w:p>
            <w:pPr>
              <w:pStyle w:val="Compact"/>
              <w:spacing w:after="20" w:before="20"/>
              <w:jc w:val="left"/>
            </w:pPr>
            <w:r>
              <w:rPr>
                <w:rStyle w:val="VerbatimChar"/>
                <w:b/>
                <w:color w:val="8A5A00"/>
                <w:sz w:val="18"/>
              </w:rPr>
              <w:t xml:space="preserve">{{NIVEAU_DE_DIFFUSION}}</w:t>
            </w:r>
            <w:r>
              <w:rPr>
                <w:sz w:val="18"/>
              </w:rPr>
              <w:t xml:space="preserve"> </w:t>
            </w:r>
            <w:r>
              <w:rPr>
                <w:sz w:val="18"/>
              </w:rPr>
              <w:t xml:space="preserve">(ex. Interne — Diffusion restreinte)</w:t>
            </w:r>
          </w:p>
        </w:tc>
      </w:tr>
      <w:tr>
        <w:trPr>
          <w:cantSplit w:val="true"/>
        </w:trPr>
        <w:tc>
          <w:tcPr>
            <w:tcW w:w="1922" w:type="dxa"/>
          </w:tcPr>
          <w:p>
            <w:pPr>
              <w:pStyle w:val="Compact"/>
              <w:spacing w:after="20" w:before="20"/>
              <w:jc w:val="left"/>
            </w:pPr>
            <w:r>
              <w:rPr>
                <w:sz w:val="18"/>
              </w:rPr>
              <w:t xml:space="preserve">État</w:t>
            </w:r>
          </w:p>
        </w:tc>
        <w:tc>
          <w:tcPr>
            <w:tcW w:w="7489" w:type="dxa"/>
          </w:tcPr>
          <w:p>
            <w:pPr>
              <w:pStyle w:val="Compact"/>
              <w:spacing w:after="20" w:before="20"/>
              <w:jc w:val="left"/>
            </w:pPr>
            <w:r>
              <w:rPr>
                <w:sz w:val="18"/>
              </w:rPr>
              <w:t xml:space="preserve">☐ Travail ☐ En attente de validation ☐ Validé</w:t>
            </w:r>
          </w:p>
        </w:tc>
      </w:tr>
      <w:tr>
        <w:trPr>
          <w:cantSplit w:val="true"/>
        </w:trPr>
        <w:tc>
          <w:tcPr>
            <w:tcW w:w="1922" w:type="dxa"/>
            <w:shd w:val="clear" w:color="auto" w:fill="EEF2F6"/>
          </w:tcPr>
          <w:p>
            <w:pPr>
              <w:pStyle w:val="Compact"/>
              <w:spacing w:after="20" w:before="20"/>
              <w:jc w:val="left"/>
            </w:pPr>
            <w:r>
              <w:rPr>
                <w:sz w:val="18"/>
              </w:rPr>
              <w:t xml:space="preserve">Document parent</w:t>
            </w:r>
          </w:p>
        </w:tc>
        <w:tc>
          <w:tcPr>
            <w:tcW w:w="7489" w:type="dxa"/>
            <w:shd w:val="clear" w:color="auto" w:fill="EEF2F6"/>
          </w:tcPr>
          <w:p>
            <w:pPr>
              <w:pStyle w:val="Compact"/>
              <w:spacing w:after="20" w:before="20"/>
              <w:jc w:val="left"/>
            </w:pPr>
            <w:r>
              <w:rPr>
                <w:sz w:val="18"/>
              </w:rPr>
              <w:t xml:space="preserve">Politique de Sécurité des Systèmes d'Information (PSSI) de</w:t>
            </w:r>
            <w:r>
              <w:rPr>
                <w:sz w:val="18"/>
              </w:rPr>
              <w:t xml:space="preserve"> </w:t>
            </w:r>
            <w:r>
              <w:rPr>
                <w:rStyle w:val="VerbatimChar"/>
                <w:b/>
                <w:color w:val="8A5A00"/>
                <w:sz w:val="18"/>
              </w:rPr>
              <w:t xml:space="preserve">{{ORGANISATION}}</w:t>
            </w:r>
          </w:p>
        </w:tc>
      </w:tr>
      <w:tr>
        <w:trPr>
          <w:cantSplit w:val="true"/>
        </w:trPr>
        <w:tc>
          <w:tcPr>
            <w:tcW w:w="1922" w:type="dxa"/>
          </w:tcPr>
          <w:p>
            <w:pPr>
              <w:pStyle w:val="Compact"/>
              <w:spacing w:after="20" w:before="20"/>
              <w:jc w:val="left"/>
            </w:pPr>
            <w:r>
              <w:rPr>
                <w:sz w:val="18"/>
              </w:rPr>
              <w:t xml:space="preserve">Documents liés</w:t>
            </w:r>
          </w:p>
        </w:tc>
        <w:tc>
          <w:tcPr>
            <w:tcW w:w="7489" w:type="dxa"/>
          </w:tcPr>
          <w:p>
            <w:pPr>
              <w:pStyle w:val="Compact"/>
              <w:spacing w:after="20" w:before="20"/>
              <w:jc w:val="left"/>
            </w:pPr>
            <w:r>
              <w:rPr>
                <w:sz w:val="18"/>
              </w:rPr>
              <w:t xml:space="preserve">Politique de sauvegarde · Analyse d'impact sur l'activité (BIA) · Stratégie de continuité et de reprise · Plan de Continuité Informatique (PCI) · Plan de Continuité d'Activité (PCA) · Plan de gestion de crise · Conventions de service</w:t>
            </w:r>
          </w:p>
        </w:tc>
      </w:tr>
    </w:tbl>
    <w:bookmarkEnd w:id="20"/>
    <w:bookmarkStart w:id="21" w:name="historique-des-versions"/>
    <w:p>
      <w:pPr>
        <w:pStyle w:val="Heading3"/>
      </w:pPr>
      <w:r>
        <w:t xml:space="preserve">Historique des versions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1076"/>
        <w:gridCol w:w="2153"/>
        <w:gridCol w:w="3384"/>
        <w:gridCol w:w="2797"/>
      </w:tblGrid>
      <w:tr>
        <w:trPr>
          <w:tblHeader w:val="true"/>
          <w:tblHeader w:val="true"/>
          <w:cantSplit w:val="true"/>
        </w:trPr>
        <w:tc>
          <w:tcPr>
            <w:tcW w:w="1076" w:type="dxa"/>
            <w:shd w:val="clear" w:color="auto" w:fill="1F3A5F"/>
          </w:tcPr>
          <w:p>
            <w:pPr>
              <w:pStyle w:val="Compact"/>
              <w:spacing w:after="20" w:before="20"/>
              <w:jc w:val="left"/>
            </w:pPr>
            <w:r>
              <w:rPr>
                <w:b/>
                <w:color w:val="FFFFFF"/>
                <w:sz w:val="18"/>
              </w:rPr>
              <w:t xml:space="preserve">Version</w:t>
            </w:r>
          </w:p>
        </w:tc>
        <w:tc>
          <w:tcPr>
            <w:tcW w:w="2153" w:type="dxa"/>
            <w:shd w:val="clear" w:color="auto" w:fill="1F3A5F"/>
          </w:tcPr>
          <w:p>
            <w:pPr>
              <w:pStyle w:val="Compact"/>
              <w:spacing w:after="20" w:before="20"/>
              <w:jc w:val="left"/>
            </w:pPr>
            <w:r>
              <w:rPr>
                <w:b/>
                <w:color w:val="FFFFFF"/>
                <w:sz w:val="18"/>
              </w:rPr>
              <w:t xml:space="preserve">Date</w:t>
            </w:r>
          </w:p>
        </w:tc>
        <w:tc>
          <w:tcPr>
            <w:tcW w:w="3384" w:type="dxa"/>
            <w:shd w:val="clear" w:color="auto" w:fill="1F3A5F"/>
          </w:tcPr>
          <w:p>
            <w:pPr>
              <w:pStyle w:val="Compact"/>
              <w:spacing w:after="20" w:before="20"/>
              <w:jc w:val="left"/>
            </w:pPr>
            <w:r>
              <w:rPr>
                <w:b/>
                <w:color w:val="FFFFFF"/>
                <w:sz w:val="18"/>
              </w:rPr>
              <w:t xml:space="preserve">Rédacteur</w:t>
            </w:r>
          </w:p>
        </w:tc>
        <w:tc>
          <w:tcPr>
            <w:tcW w:w="2797" w:type="dxa"/>
            <w:shd w:val="clear" w:color="auto" w:fill="1F3A5F"/>
          </w:tcPr>
          <w:p>
            <w:pPr>
              <w:pStyle w:val="Compact"/>
              <w:spacing w:after="20" w:before="20"/>
              <w:jc w:val="left"/>
            </w:pPr>
            <w:r>
              <w:rPr>
                <w:b/>
                <w:color w:val="FFFFFF"/>
                <w:sz w:val="18"/>
              </w:rPr>
              <w:t xml:space="preserve">Modification</w:t>
            </w:r>
          </w:p>
        </w:tc>
      </w:tr>
      <w:tr>
        <w:trPr>
          <w:cantSplit w:val="true"/>
        </w:trPr>
        <w:tc>
          <w:tcPr>
            <w:tcW w:w="1076" w:type="dxa"/>
          </w:tcPr>
          <w:p>
            <w:pPr>
              <w:pStyle w:val="Compact"/>
              <w:spacing w:after="20" w:before="20"/>
              <w:jc w:val="left"/>
            </w:pPr>
            <w:r>
              <w:rPr>
                <w:rStyle w:val="VerbatimChar"/>
                <w:b/>
                <w:color w:val="8A5A00"/>
                <w:sz w:val="18"/>
              </w:rPr>
              <w:t xml:space="preserve">{{0.1}}</w:t>
            </w:r>
          </w:p>
        </w:tc>
        <w:tc>
          <w:tcPr>
            <w:tcW w:w="2153" w:type="dxa"/>
          </w:tcPr>
          <w:p>
            <w:pPr>
              <w:pStyle w:val="Compact"/>
              <w:spacing w:after="20" w:before="20"/>
              <w:jc w:val="left"/>
            </w:pPr>
            <w:r>
              <w:rPr>
                <w:rStyle w:val="VerbatimChar"/>
                <w:b/>
                <w:color w:val="8A5A00"/>
                <w:sz w:val="18"/>
              </w:rPr>
              <w:t xml:space="preserve">{{JJ/MM/AAAA}}</w:t>
            </w:r>
          </w:p>
        </w:tc>
        <w:tc>
          <w:tcPr>
            <w:tcW w:w="3384" w:type="dxa"/>
          </w:tcPr>
          <w:p>
            <w:pPr>
              <w:pStyle w:val="Compact"/>
              <w:spacing w:after="20" w:before="20"/>
              <w:jc w:val="left"/>
            </w:pPr>
            <w:r>
              <w:rPr>
                <w:rStyle w:val="VerbatimChar"/>
                <w:b/>
                <w:color w:val="8A5A00"/>
                <w:sz w:val="18"/>
              </w:rPr>
              <w:t xml:space="preserve">{{FONCTION_REDACTEUR}}</w:t>
            </w:r>
          </w:p>
        </w:tc>
        <w:tc>
          <w:tcPr>
            <w:tcW w:w="2797" w:type="dxa"/>
          </w:tcPr>
          <w:p>
            <w:pPr>
              <w:pStyle w:val="Compact"/>
              <w:spacing w:after="20" w:before="20"/>
              <w:jc w:val="left"/>
            </w:pPr>
            <w:r>
              <w:rPr>
                <w:sz w:val="18"/>
              </w:rPr>
              <w:t xml:space="preserve">Création du document</w:t>
            </w:r>
          </w:p>
        </w:tc>
      </w:tr>
      <w:tr>
        <w:trPr>
          <w:cantSplit w:val="true"/>
        </w:trPr>
        <w:tc>
          <w:tcPr>
            <w:tcW w:w="1076" w:type="dxa"/>
            <w:shd w:val="clear" w:color="auto" w:fill="EEF2F6"/>
          </w:tcPr>
          <w:p>
            <w:pPr>
              <w:pStyle w:val="Compact"/>
              <w:spacing w:after="20" w:before="20"/>
            </w:pPr>
          </w:p>
        </w:tc>
        <w:tc>
          <w:tcPr>
            <w:tcW w:w="2153" w:type="dxa"/>
            <w:shd w:val="clear" w:color="auto" w:fill="EEF2F6"/>
          </w:tcPr>
          <w:p>
            <w:pPr>
              <w:pStyle w:val="Compact"/>
              <w:spacing w:after="20" w:before="20"/>
            </w:pPr>
          </w:p>
        </w:tc>
        <w:tc>
          <w:tcPr>
            <w:tcW w:w="3384" w:type="dxa"/>
            <w:shd w:val="clear" w:color="auto" w:fill="EEF2F6"/>
          </w:tcPr>
          <w:p>
            <w:pPr>
              <w:pStyle w:val="Compact"/>
              <w:spacing w:after="20" w:before="20"/>
            </w:pPr>
          </w:p>
        </w:tc>
        <w:tc>
          <w:tcPr>
            <w:tcW w:w="2797" w:type="dxa"/>
            <w:shd w:val="clear" w:color="auto" w:fill="EEF2F6"/>
          </w:tcPr>
          <w:p>
            <w:pPr>
              <w:pStyle w:val="Compact"/>
              <w:spacing w:after="20" w:before="20"/>
            </w:pPr>
          </w:p>
        </w:tc>
      </w:tr>
    </w:tbl>
    <w:bookmarkEnd w:id="21"/>
    <w:bookmarkStart w:id="22" w:name="validation"/>
    <w:p>
      <w:pPr>
        <w:pStyle w:val="Heading3"/>
      </w:pPr>
      <w:r>
        <w:t xml:space="preserve">Validation</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1904"/>
        <w:gridCol w:w="3809"/>
        <w:gridCol w:w="3697"/>
      </w:tblGrid>
      <w:tr>
        <w:trPr>
          <w:tblHeader w:val="true"/>
          <w:tblHeader w:val="true"/>
          <w:cantSplit w:val="true"/>
        </w:trPr>
        <w:tc>
          <w:tcPr>
            <w:tcW w:w="1904" w:type="dxa"/>
            <w:shd w:val="clear" w:color="auto" w:fill="1F3A5F"/>
          </w:tcPr>
          <w:p>
            <w:pPr>
              <w:pStyle w:val="Compact"/>
              <w:spacing w:after="20" w:before="20"/>
            </w:pPr>
          </w:p>
        </w:tc>
        <w:tc>
          <w:tcPr>
            <w:tcW w:w="3809" w:type="dxa"/>
            <w:shd w:val="clear" w:color="auto" w:fill="1F3A5F"/>
          </w:tcPr>
          <w:p>
            <w:pPr>
              <w:pStyle w:val="Compact"/>
              <w:spacing w:after="20" w:before="20"/>
              <w:jc w:val="left"/>
            </w:pPr>
            <w:r>
              <w:rPr>
                <w:rStyle w:val="VerbatimChar"/>
                <w:b/>
                <w:color w:val="FFFFFF"/>
                <w:sz w:val="18"/>
              </w:rPr>
              <w:t xml:space="preserve">{{FONCTION_VALIDEUR_1}}</w:t>
            </w:r>
            <w:r>
              <w:rPr>
                <w:b/>
                <w:color w:val="FFFFFF"/>
                <w:sz w:val="18"/>
              </w:rPr>
              <w:t xml:space="preserve"> </w:t>
            </w:r>
            <w:r>
              <w:rPr>
                <w:b/>
                <w:color w:val="FFFFFF"/>
                <w:sz w:val="18"/>
              </w:rPr>
              <w:t xml:space="preserve">(ex. RSSI)</w:t>
            </w:r>
          </w:p>
        </w:tc>
        <w:tc>
          <w:tcPr>
            <w:tcW w:w="3697" w:type="dxa"/>
            <w:shd w:val="clear" w:color="auto" w:fill="1F3A5F"/>
          </w:tcPr>
          <w:p>
            <w:pPr>
              <w:pStyle w:val="Compact"/>
              <w:spacing w:after="20" w:before="20"/>
              <w:jc w:val="left"/>
            </w:pPr>
            <w:r>
              <w:rPr>
                <w:rStyle w:val="VerbatimChar"/>
                <w:b/>
                <w:color w:val="FFFFFF"/>
                <w:sz w:val="18"/>
              </w:rPr>
              <w:t xml:space="preserve">{{FONCTION_VALIDEUR_2}}</w:t>
            </w:r>
            <w:r>
              <w:rPr>
                <w:b/>
                <w:color w:val="FFFFFF"/>
                <w:sz w:val="18"/>
              </w:rPr>
              <w:t xml:space="preserve"> </w:t>
            </w:r>
            <w:r>
              <w:rPr>
                <w:b/>
                <w:color w:val="FFFFFF"/>
                <w:sz w:val="18"/>
              </w:rPr>
              <w:t xml:space="preserve">(ex. DSI)</w:t>
            </w:r>
          </w:p>
        </w:tc>
      </w:tr>
      <w:tr>
        <w:trPr>
          <w:cantSplit w:val="true"/>
        </w:trPr>
        <w:tc>
          <w:tcPr>
            <w:tcW w:w="1904" w:type="dxa"/>
          </w:tcPr>
          <w:p>
            <w:pPr>
              <w:pStyle w:val="Compact"/>
              <w:spacing w:after="20" w:before="20"/>
              <w:jc w:val="left"/>
            </w:pPr>
            <w:r>
              <w:rPr>
                <w:sz w:val="18"/>
              </w:rPr>
              <w:t xml:space="preserve">Nom</w:t>
            </w:r>
          </w:p>
        </w:tc>
        <w:tc>
          <w:tcPr>
            <w:tcW w:w="3809" w:type="dxa"/>
          </w:tcPr>
          <w:p>
            <w:pPr>
              <w:pStyle w:val="Compact"/>
              <w:spacing w:after="20" w:before="20"/>
            </w:pPr>
          </w:p>
        </w:tc>
        <w:tc>
          <w:tcPr>
            <w:tcW w:w="3697" w:type="dxa"/>
          </w:tcPr>
          <w:p>
            <w:pPr>
              <w:pStyle w:val="Compact"/>
              <w:spacing w:after="20" w:before="20"/>
            </w:pPr>
          </w:p>
        </w:tc>
      </w:tr>
      <w:tr>
        <w:trPr>
          <w:cantSplit w:val="true"/>
        </w:trPr>
        <w:tc>
          <w:tcPr>
            <w:tcW w:w="1904" w:type="dxa"/>
            <w:shd w:val="clear" w:color="auto" w:fill="EEF2F6"/>
          </w:tcPr>
          <w:p>
            <w:pPr>
              <w:pStyle w:val="Compact"/>
              <w:spacing w:after="20" w:before="20"/>
              <w:jc w:val="left"/>
            </w:pPr>
            <w:r>
              <w:rPr>
                <w:sz w:val="18"/>
              </w:rPr>
              <w:t xml:space="preserve">Date et signature</w:t>
            </w:r>
          </w:p>
        </w:tc>
        <w:tc>
          <w:tcPr>
            <w:tcW w:w="3809" w:type="dxa"/>
            <w:shd w:val="clear" w:color="auto" w:fill="EEF2F6"/>
          </w:tcPr>
          <w:p>
            <w:pPr>
              <w:pStyle w:val="Compact"/>
              <w:spacing w:after="20" w:before="20"/>
            </w:pPr>
          </w:p>
        </w:tc>
        <w:tc>
          <w:tcPr>
            <w:tcW w:w="3697" w:type="dxa"/>
            <w:shd w:val="clear" w:color="auto" w:fill="EEF2F6"/>
          </w:tcPr>
          <w:p>
            <w:pPr>
              <w:pStyle w:val="Compact"/>
              <w:spacing w:after="20" w:before="20"/>
            </w:pPr>
          </w:p>
        </w:tc>
      </w:tr>
    </w:tbl>
    <w:bookmarkEnd w:id="22"/>
    <w:bookmarkEnd w:id="23"/>
    <w:bookmarkStart w:id="24" w:name="mode-demploi-du-modèle"/>
    <w:p>
      <w:pPr>
        <w:pStyle w:val="Heading2"/>
      </w:pPr>
      <w:r>
        <w:t xml:space="preserve">Mode d'emploi du modèle</w:t>
      </w:r>
    </w:p>
    <w:p>
      <w:pPr>
        <w:pStyle w:val="FirstParagraph"/>
      </w:pPr>
      <w:r>
        <w:t xml:space="preserve">Ce document est un modèle générique. Il a été conçu pour être adapté à toute organisation disposant d'un système d'information réparti sur un ou plusieurs sites d'hébergement, avec ou sans recours à des prestataires et à des services cloud.</w:t>
      </w:r>
    </w:p>
    <w:p>
      <w:pPr>
        <w:pStyle w:val="BodyText"/>
      </w:pPr>
      <w:r>
        <w:rPr>
          <w:bCs/>
          <w:b/>
        </w:rPr>
        <w:t xml:space="preserve">Conventions de personnalisation</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418"/>
        <w:gridCol w:w="3506"/>
        <w:gridCol w:w="3487"/>
      </w:tblGrid>
      <w:tr>
        <w:trPr>
          <w:tblHeader w:val="true"/>
          <w:tblHeader w:val="true"/>
          <w:cantSplit w:val="true"/>
        </w:trPr>
        <w:tc>
          <w:tcPr>
            <w:tcW w:w="2418" w:type="dxa"/>
            <w:shd w:val="clear" w:color="auto" w:fill="1F3A5F"/>
          </w:tcPr>
          <w:p>
            <w:pPr>
              <w:pStyle w:val="Compact"/>
              <w:spacing w:after="20" w:before="20"/>
              <w:jc w:val="left"/>
            </w:pPr>
            <w:r>
              <w:rPr>
                <w:b/>
                <w:color w:val="FFFFFF"/>
                <w:sz w:val="18"/>
              </w:rPr>
              <w:t xml:space="preserve">Marqueur</w:t>
            </w:r>
          </w:p>
        </w:tc>
        <w:tc>
          <w:tcPr>
            <w:tcW w:w="3506" w:type="dxa"/>
            <w:shd w:val="clear" w:color="auto" w:fill="1F3A5F"/>
          </w:tcPr>
          <w:p>
            <w:pPr>
              <w:pStyle w:val="Compact"/>
              <w:spacing w:after="20" w:before="20"/>
              <w:jc w:val="left"/>
            </w:pPr>
            <w:r>
              <w:rPr>
                <w:b/>
                <w:color w:val="FFFFFF"/>
                <w:sz w:val="18"/>
              </w:rPr>
              <w:t xml:space="preserve">Signification</w:t>
            </w:r>
          </w:p>
        </w:tc>
        <w:tc>
          <w:tcPr>
            <w:tcW w:w="3487" w:type="dxa"/>
            <w:shd w:val="clear" w:color="auto" w:fill="1F3A5F"/>
          </w:tcPr>
          <w:p>
            <w:pPr>
              <w:pStyle w:val="Compact"/>
              <w:spacing w:after="20" w:before="20"/>
              <w:jc w:val="left"/>
            </w:pPr>
            <w:r>
              <w:rPr>
                <w:b/>
                <w:color w:val="FFFFFF"/>
                <w:sz w:val="18"/>
              </w:rPr>
              <w:t xml:space="preserve">Action attendue</w:t>
            </w:r>
          </w:p>
        </w:tc>
      </w:tr>
      <w:tr>
        <w:trPr>
          <w:cantSplit w:val="true"/>
        </w:trPr>
        <w:tc>
          <w:tcPr>
            <w:tcW w:w="2418" w:type="dxa"/>
          </w:tcPr>
          <w:p>
            <w:pPr>
              <w:pStyle w:val="Compact"/>
              <w:spacing w:after="20" w:before="20"/>
              <w:jc w:val="left"/>
            </w:pPr>
            <w:r>
              <w:rPr>
                <w:rStyle w:val="VerbatimChar"/>
                <w:b/>
                <w:color w:val="8A5A00"/>
                <w:sz w:val="18"/>
              </w:rPr>
              <w:t xml:space="preserve">{{ORGANISATION}}</w:t>
            </w:r>
          </w:p>
        </w:tc>
        <w:tc>
          <w:tcPr>
            <w:tcW w:w="3506" w:type="dxa"/>
          </w:tcPr>
          <w:p>
            <w:pPr>
              <w:pStyle w:val="Compact"/>
              <w:spacing w:after="20" w:before="20"/>
              <w:jc w:val="left"/>
            </w:pPr>
            <w:r>
              <w:rPr>
                <w:sz w:val="18"/>
              </w:rPr>
              <w:t xml:space="preserve">Nom de l'organisation</w:t>
            </w:r>
          </w:p>
        </w:tc>
        <w:tc>
          <w:tcPr>
            <w:tcW w:w="3487" w:type="dxa"/>
          </w:tcPr>
          <w:p>
            <w:pPr>
              <w:pStyle w:val="Compact"/>
              <w:spacing w:after="20" w:before="20"/>
              <w:jc w:val="left"/>
            </w:pPr>
            <w:r>
              <w:rPr>
                <w:sz w:val="18"/>
              </w:rPr>
              <w:t xml:space="preserve">Remplacer partout</w:t>
            </w:r>
          </w:p>
        </w:tc>
      </w:tr>
      <w:tr>
        <w:trPr>
          <w:cantSplit w:val="true"/>
        </w:trPr>
        <w:tc>
          <w:tcPr>
            <w:tcW w:w="2418" w:type="dxa"/>
            <w:shd w:val="clear" w:color="auto" w:fill="EEF2F6"/>
          </w:tcPr>
          <w:p>
            <w:pPr>
              <w:pStyle w:val="Compact"/>
              <w:spacing w:after="20" w:before="20"/>
              <w:jc w:val="left"/>
            </w:pPr>
            <w:r>
              <w:rPr>
                <w:rStyle w:val="VerbatimChar"/>
                <w:b/>
                <w:color w:val="8A5A00"/>
                <w:sz w:val="18"/>
              </w:rPr>
              <w:t xml:space="preserve">{{SITE_A}}</w:t>
            </w:r>
            <w:r>
              <w:rPr>
                <w:sz w:val="18"/>
              </w:rPr>
              <w:t xml:space="preserve">,</w:t>
            </w:r>
            <w:r>
              <w:rPr>
                <w:sz w:val="18"/>
              </w:rPr>
              <w:t xml:space="preserve"> </w:t>
            </w:r>
            <w:r>
              <w:rPr>
                <w:rStyle w:val="VerbatimChar"/>
                <w:b/>
                <w:color w:val="8A5A00"/>
                <w:sz w:val="18"/>
              </w:rPr>
              <w:t xml:space="preserve">{{SITE_B}}</w:t>
            </w:r>
            <w:r>
              <w:rPr>
                <w:sz w:val="18"/>
              </w:rPr>
              <w:t xml:space="preserve">…</w:t>
            </w:r>
          </w:p>
        </w:tc>
        <w:tc>
          <w:tcPr>
            <w:tcW w:w="3506" w:type="dxa"/>
            <w:shd w:val="clear" w:color="auto" w:fill="EEF2F6"/>
          </w:tcPr>
          <w:p>
            <w:pPr>
              <w:pStyle w:val="Compact"/>
              <w:spacing w:after="20" w:before="20"/>
              <w:jc w:val="left"/>
            </w:pPr>
            <w:r>
              <w:rPr>
                <w:sz w:val="18"/>
              </w:rPr>
              <w:t xml:space="preserve">Sites d'hébergement (centres de données, salles, hébergeur)</w:t>
            </w:r>
          </w:p>
        </w:tc>
        <w:tc>
          <w:tcPr>
            <w:tcW w:w="3487" w:type="dxa"/>
            <w:shd w:val="clear" w:color="auto" w:fill="EEF2F6"/>
          </w:tcPr>
          <w:p>
            <w:pPr>
              <w:pStyle w:val="Compact"/>
              <w:spacing w:after="20" w:before="20"/>
              <w:jc w:val="left"/>
            </w:pPr>
            <w:r>
              <w:rPr>
                <w:sz w:val="18"/>
              </w:rPr>
              <w:t xml:space="preserve">Remplacer ; ajouter ou supprimer selon l'architecture retenue au §8.1</w:t>
            </w:r>
          </w:p>
        </w:tc>
      </w:tr>
      <w:tr>
        <w:trPr>
          <w:cantSplit w:val="true"/>
        </w:trPr>
        <w:tc>
          <w:tcPr>
            <w:tcW w:w="2418" w:type="dxa"/>
          </w:tcPr>
          <w:p>
            <w:pPr>
              <w:pStyle w:val="Compact"/>
              <w:spacing w:after="20" w:before="20"/>
              <w:jc w:val="left"/>
            </w:pPr>
            <w:r>
              <w:rPr>
                <w:rStyle w:val="VerbatimChar"/>
                <w:b/>
                <w:color w:val="8A5A00"/>
                <w:sz w:val="18"/>
              </w:rPr>
              <w:t xml:space="preserve">{{PRESTATAIRE_COFFRE}}</w:t>
            </w:r>
          </w:p>
        </w:tc>
        <w:tc>
          <w:tcPr>
            <w:tcW w:w="3506" w:type="dxa"/>
          </w:tcPr>
          <w:p>
            <w:pPr>
              <w:pStyle w:val="Compact"/>
              <w:spacing w:after="20" w:before="20"/>
              <w:jc w:val="left"/>
            </w:pPr>
            <w:r>
              <w:rPr>
                <w:sz w:val="18"/>
              </w:rPr>
              <w:t xml:space="preserve">Prestataire du coffre de sauvegardes isolé</w:t>
            </w:r>
          </w:p>
        </w:tc>
        <w:tc>
          <w:tcPr>
            <w:tcW w:w="3487" w:type="dxa"/>
          </w:tcPr>
          <w:p>
            <w:pPr>
              <w:pStyle w:val="Compact"/>
              <w:spacing w:after="20" w:before="20"/>
              <w:jc w:val="left"/>
            </w:pPr>
            <w:r>
              <w:rPr>
                <w:sz w:val="18"/>
              </w:rPr>
              <w:t xml:space="preserve">Remplacer ou supprimer si le coffre est interne</w:t>
            </w:r>
          </w:p>
        </w:tc>
      </w:tr>
      <w:tr>
        <w:trPr>
          <w:cantSplit w:val="true"/>
        </w:trPr>
        <w:tc>
          <w:tcPr>
            <w:tcW w:w="2418" w:type="dxa"/>
            <w:shd w:val="clear" w:color="auto" w:fill="EEF2F6"/>
          </w:tcPr>
          <w:p>
            <w:pPr>
              <w:pStyle w:val="Compact"/>
              <w:spacing w:after="20" w:before="20"/>
              <w:jc w:val="left"/>
            </w:pPr>
            <w:r>
              <w:rPr>
                <w:rStyle w:val="VerbatimChar"/>
                <w:b/>
                <w:color w:val="8A5A00"/>
                <w:sz w:val="18"/>
              </w:rPr>
              <w:t xml:space="preserve">{{OUTIL_ITSM}}</w:t>
            </w:r>
          </w:p>
        </w:tc>
        <w:tc>
          <w:tcPr>
            <w:tcW w:w="3506" w:type="dxa"/>
            <w:shd w:val="clear" w:color="auto" w:fill="EEF2F6"/>
          </w:tcPr>
          <w:p>
            <w:pPr>
              <w:pStyle w:val="Compact"/>
              <w:spacing w:after="20" w:before="20"/>
              <w:jc w:val="left"/>
            </w:pPr>
            <w:r>
              <w:rPr>
                <w:sz w:val="18"/>
              </w:rPr>
              <w:t xml:space="preserve">Outil de gestion des tickets et incidents</w:t>
            </w:r>
          </w:p>
        </w:tc>
        <w:tc>
          <w:tcPr>
            <w:tcW w:w="3487" w:type="dxa"/>
            <w:shd w:val="clear" w:color="auto" w:fill="EEF2F6"/>
          </w:tcPr>
          <w:p>
            <w:pPr>
              <w:pStyle w:val="Compact"/>
              <w:spacing w:after="20" w:before="20"/>
              <w:jc w:val="left"/>
            </w:pPr>
            <w:r>
              <w:rPr>
                <w:sz w:val="18"/>
              </w:rPr>
              <w:t xml:space="preserve">Remplacer</w:t>
            </w:r>
          </w:p>
        </w:tc>
      </w:tr>
      <w:tr>
        <w:trPr>
          <w:cantSplit w:val="true"/>
        </w:trPr>
        <w:tc>
          <w:tcPr>
            <w:tcW w:w="2418" w:type="dxa"/>
          </w:tcPr>
          <w:p>
            <w:pPr>
              <w:pStyle w:val="Compact"/>
              <w:spacing w:after="20" w:before="20"/>
              <w:jc w:val="left"/>
            </w:pPr>
            <w:r>
              <w:rPr>
                <w:rStyle w:val="VerbatimChar"/>
                <w:b/>
                <w:color w:val="8A5A00"/>
                <w:sz w:val="18"/>
              </w:rPr>
              <w:t xml:space="preserve">{{INSTANCE_…}}</w:t>
            </w:r>
          </w:p>
        </w:tc>
        <w:tc>
          <w:tcPr>
            <w:tcW w:w="3506" w:type="dxa"/>
          </w:tcPr>
          <w:p>
            <w:pPr>
              <w:pStyle w:val="Compact"/>
              <w:spacing w:after="20" w:before="20"/>
              <w:jc w:val="left"/>
            </w:pPr>
            <w:r>
              <w:rPr>
                <w:sz w:val="18"/>
              </w:rPr>
              <w:t xml:space="preserve">Comité ou instance de gouvernance</w:t>
            </w:r>
          </w:p>
        </w:tc>
        <w:tc>
          <w:tcPr>
            <w:tcW w:w="3487" w:type="dxa"/>
          </w:tcPr>
          <w:p>
            <w:pPr>
              <w:pStyle w:val="Compact"/>
              <w:spacing w:after="20" w:before="20"/>
              <w:jc w:val="left"/>
            </w:pPr>
            <w:r>
              <w:rPr>
                <w:sz w:val="18"/>
              </w:rPr>
              <w:t xml:space="preserve">Faire correspondre à la comitologie existante</w:t>
            </w:r>
          </w:p>
        </w:tc>
      </w:tr>
      <w:tr>
        <w:trPr>
          <w:cantSplit w:val="true"/>
        </w:trPr>
        <w:tc>
          <w:tcPr>
            <w:tcW w:w="2418" w:type="dxa"/>
            <w:shd w:val="clear" w:color="auto" w:fill="EEF2F6"/>
          </w:tcPr>
          <w:p>
            <w:pPr>
              <w:pStyle w:val="Compact"/>
              <w:spacing w:after="20" w:before="20"/>
              <w:jc w:val="left"/>
            </w:pPr>
            <w:r>
              <w:rPr>
                <w:bCs/>
                <w:b/>
                <w:sz w:val="18"/>
              </w:rPr>
              <w:t xml:space="preserve">[À VALIDER]</w:t>
            </w:r>
          </w:p>
        </w:tc>
        <w:tc>
          <w:tcPr>
            <w:tcW w:w="3506" w:type="dxa"/>
            <w:shd w:val="clear" w:color="auto" w:fill="EEF2F6"/>
          </w:tcPr>
          <w:p>
            <w:pPr>
              <w:pStyle w:val="Compact"/>
              <w:spacing w:after="20" w:before="20"/>
              <w:jc w:val="left"/>
            </w:pPr>
            <w:r>
              <w:rPr>
                <w:sz w:val="18"/>
              </w:rPr>
              <w:t xml:space="preserve">Valeur proposée par défaut, cohérente avec les pratiques du marché</w:t>
            </w:r>
          </w:p>
        </w:tc>
        <w:tc>
          <w:tcPr>
            <w:tcW w:w="3487" w:type="dxa"/>
            <w:shd w:val="clear" w:color="auto" w:fill="EEF2F6"/>
          </w:tcPr>
          <w:p>
            <w:pPr>
              <w:pStyle w:val="Compact"/>
              <w:spacing w:after="20" w:before="20"/>
              <w:jc w:val="left"/>
            </w:pPr>
            <w:r>
              <w:rPr>
                <w:sz w:val="18"/>
              </w:rPr>
              <w:t xml:space="preserve">Confirmer ou ajuster avec les métiers</w:t>
            </w:r>
          </w:p>
        </w:tc>
      </w:tr>
      <w:tr>
        <w:trPr>
          <w:cantSplit w:val="true"/>
        </w:trPr>
        <w:tc>
          <w:tcPr>
            <w:tcW w:w="2418" w:type="dxa"/>
          </w:tcPr>
          <w:p>
            <w:pPr>
              <w:pStyle w:val="Compact"/>
              <w:spacing w:after="20" w:before="20"/>
              <w:jc w:val="left"/>
            </w:pPr>
            <w:r>
              <w:rPr>
                <w:bCs/>
                <w:b/>
                <w:sz w:val="18"/>
              </w:rPr>
              <w:t xml:space="preserve">[À COMPLÉTER]</w:t>
            </w:r>
          </w:p>
        </w:tc>
        <w:tc>
          <w:tcPr>
            <w:tcW w:w="3506" w:type="dxa"/>
          </w:tcPr>
          <w:p>
            <w:pPr>
              <w:pStyle w:val="Compact"/>
              <w:spacing w:after="20" w:before="20"/>
              <w:jc w:val="left"/>
            </w:pPr>
            <w:r>
              <w:rPr>
                <w:sz w:val="18"/>
              </w:rPr>
              <w:t xml:space="preserve">Élément propre à l'organisation, non déductible du modèle</w:t>
            </w:r>
          </w:p>
        </w:tc>
        <w:tc>
          <w:tcPr>
            <w:tcW w:w="3487" w:type="dxa"/>
          </w:tcPr>
          <w:p>
            <w:pPr>
              <w:pStyle w:val="Compact"/>
              <w:spacing w:after="20" w:before="20"/>
              <w:jc w:val="left"/>
            </w:pPr>
            <w:r>
              <w:rPr>
                <w:sz w:val="18"/>
              </w:rPr>
              <w:t xml:space="preserve">Produire le contenu</w:t>
            </w:r>
          </w:p>
        </w:tc>
      </w:tr>
    </w:tbl>
    <w:p>
      <w:pPr>
        <w:pStyle w:val="BodyText"/>
      </w:pPr>
      <w:r>
        <w:rPr>
          <w:bCs/>
          <w:b/>
        </w:rPr>
        <w:t xml:space="preserve">Ordre d'adaptation recommandé</w:t>
      </w:r>
    </w:p>
    <w:p>
      <w:pPr>
        <w:numPr>
          <w:ilvl w:val="0"/>
          <w:numId w:val="1001"/>
        </w:numPr>
        <w:pStyle w:val="Compact"/>
      </w:pPr>
      <w:r>
        <w:t xml:space="preserve">Partir de l'analyse d'impact sur l'activité (BIA) : activités prioritaires, dépendances, durées d'interruption tolérables (§5.2, §9.1). Si elle n'existe pas, la conduire d'abord : sans elle, les engagements sont fixés à l'aveugle.</w:t>
      </w:r>
    </w:p>
    <w:p>
      <w:pPr>
        <w:numPr>
          <w:ilvl w:val="0"/>
          <w:numId w:val="1001"/>
        </w:numPr>
        <w:pStyle w:val="Compact"/>
      </w:pPr>
      <w:r>
        <w:t xml:space="preserve">Cartographier les sites, les environnements et les prestataires (§5.8, §8).</w:t>
      </w:r>
    </w:p>
    <w:p>
      <w:pPr>
        <w:numPr>
          <w:ilvl w:val="0"/>
          <w:numId w:val="1001"/>
        </w:numPr>
        <w:pStyle w:val="Compact"/>
      </w:pPr>
      <w:r>
        <w:t xml:space="preserve">Faire valider par les métiers les engagements DMIA / PDMA (§9.1) — c'est le socle de tout le reste.</w:t>
      </w:r>
    </w:p>
    <w:p>
      <w:pPr>
        <w:numPr>
          <w:ilvl w:val="0"/>
          <w:numId w:val="1001"/>
        </w:numPr>
        <w:pStyle w:val="Compact"/>
      </w:pPr>
      <w:r>
        <w:t xml:space="preserve">Renseigner l'affectation des rôles (Annexe B) et raccorder la comitologie aux instances existantes (§7.3), y compris la cellule de crise (§8.4).</w:t>
      </w:r>
    </w:p>
    <w:p>
      <w:pPr>
        <w:numPr>
          <w:ilvl w:val="0"/>
          <w:numId w:val="1001"/>
        </w:numPr>
        <w:pStyle w:val="Compact"/>
      </w:pPr>
      <w:r>
        <w:t xml:space="preserve">Produire le plan de sauvegarde détaillé (§9.3) à partir de l'existant, puis mesurer l'écart.</w:t>
      </w:r>
    </w:p>
    <w:p>
      <w:pPr>
        <w:numPr>
          <w:ilvl w:val="0"/>
          <w:numId w:val="1001"/>
        </w:numPr>
        <w:pStyle w:val="Compact"/>
      </w:pPr>
      <w:r>
        <w:t xml:space="preserve">Construire la table de correspondance avec la PSSI et les référentiels (§4.3).</w:t>
      </w:r>
    </w:p>
    <w:bookmarkEnd w:id="24"/>
    <w:bookmarkStart w:id="25" w:name="synthèse-exécutive"/>
    <w:p>
      <w:pPr>
        <w:pStyle w:val="Heading2"/>
      </w:pPr>
      <w:r>
        <w:t xml:space="preserve">Synthèse exécutive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273"/>
        <w:gridCol w:w="6138"/>
      </w:tblGrid>
      <w:tr>
        <w:trPr>
          <w:tblHeader w:val="true"/>
          <w:tblHeader w:val="true"/>
          <w:cantSplit w:val="true"/>
        </w:trPr>
        <w:tc>
          <w:tcPr>
            <w:tcW w:w="3273" w:type="dxa"/>
            <w:shd w:val="clear" w:color="auto" w:fill="1F3A5F"/>
          </w:tcPr>
          <w:p>
            <w:pPr>
              <w:pStyle w:val="Compact"/>
              <w:spacing w:after="20" w:before="20"/>
              <w:jc w:val="left"/>
            </w:pPr>
            <w:r>
              <w:rPr>
                <w:b/>
                <w:color w:val="FFFFFF"/>
                <w:sz w:val="18"/>
              </w:rPr>
              <w:t xml:space="preserve">Axe</w:t>
            </w:r>
          </w:p>
        </w:tc>
        <w:tc>
          <w:tcPr>
            <w:tcW w:w="6138" w:type="dxa"/>
            <w:shd w:val="clear" w:color="auto" w:fill="1F3A5F"/>
          </w:tcPr>
          <w:p>
            <w:pPr>
              <w:pStyle w:val="Compact"/>
              <w:spacing w:after="20" w:before="20"/>
              <w:jc w:val="left"/>
            </w:pPr>
            <w:r>
              <w:rPr>
                <w:b/>
                <w:color w:val="FFFFFF"/>
                <w:sz w:val="18"/>
              </w:rPr>
              <w:t xml:space="preserve">Ce que la stratégie impose</w:t>
            </w:r>
          </w:p>
        </w:tc>
      </w:tr>
      <w:tr>
        <w:trPr>
          <w:cantSplit w:val="true"/>
        </w:trPr>
        <w:tc>
          <w:tcPr>
            <w:tcW w:w="3273" w:type="dxa"/>
          </w:tcPr>
          <w:p>
            <w:pPr>
              <w:pStyle w:val="Compact"/>
              <w:spacing w:after="20" w:before="20"/>
              <w:jc w:val="left"/>
            </w:pPr>
            <w:r>
              <w:rPr>
                <w:bCs/>
                <w:b/>
                <w:sz w:val="18"/>
              </w:rPr>
              <w:t xml:space="preserve">Finalité</w:t>
            </w:r>
          </w:p>
        </w:tc>
        <w:tc>
          <w:tcPr>
            <w:tcW w:w="6138" w:type="dxa"/>
          </w:tcPr>
          <w:p>
            <w:pPr>
              <w:pStyle w:val="Compact"/>
              <w:spacing w:after="20" w:before="20"/>
              <w:jc w:val="left"/>
            </w:pPr>
            <w:r>
              <w:rPr>
                <w:sz w:val="18"/>
              </w:rPr>
              <w:t xml:space="preserve">Réduire et borner l'indisponibilité des données et applications métier en cas d'incident, de cyberattaque ou de sinistre.</w:t>
            </w:r>
          </w:p>
        </w:tc>
      </w:tr>
      <w:tr>
        <w:trPr>
          <w:cantSplit w:val="true"/>
        </w:trPr>
        <w:tc>
          <w:tcPr>
            <w:tcW w:w="3273" w:type="dxa"/>
            <w:shd w:val="clear" w:color="auto" w:fill="EEF2F6"/>
          </w:tcPr>
          <w:p>
            <w:pPr>
              <w:pStyle w:val="Compact"/>
              <w:spacing w:after="20" w:before="20"/>
              <w:jc w:val="left"/>
            </w:pPr>
            <w:r>
              <w:rPr>
                <w:bCs/>
                <w:b/>
                <w:sz w:val="18"/>
              </w:rPr>
              <w:t xml:space="preserve">Socle commun</w:t>
            </w:r>
          </w:p>
        </w:tc>
        <w:tc>
          <w:tcPr>
            <w:tcW w:w="6138" w:type="dxa"/>
            <w:shd w:val="clear" w:color="auto" w:fill="EEF2F6"/>
          </w:tcPr>
          <w:p>
            <w:pPr>
              <w:pStyle w:val="Compact"/>
              <w:spacing w:after="20" w:before="20"/>
              <w:jc w:val="left"/>
            </w:pPr>
            <w:r>
              <w:rPr>
                <w:sz w:val="18"/>
              </w:rPr>
              <w:t xml:space="preserve">Une</w:t>
            </w:r>
            <w:r>
              <w:rPr>
                <w:sz w:val="18"/>
              </w:rPr>
              <w:t xml:space="preserve"> </w:t>
            </w:r>
            <w:r>
              <w:rPr>
                <w:bCs/>
                <w:b/>
                <w:sz w:val="18"/>
              </w:rPr>
              <w:t xml:space="preserve">Offre Générale de Sauvegarde (OGS)</w:t>
            </w:r>
            <w:r>
              <w:rPr>
                <w:sz w:val="18"/>
              </w:rPr>
              <w:t xml:space="preserve"> </w:t>
            </w:r>
            <w:r>
              <w:rPr>
                <w:sz w:val="18"/>
              </w:rPr>
              <w:t xml:space="preserve">s'applique par défaut à toutes les données du SI. Les</w:t>
            </w:r>
            <w:r>
              <w:rPr>
                <w:sz w:val="18"/>
              </w:rPr>
              <w:t xml:space="preserve"> </w:t>
            </w:r>
            <w:r>
              <w:rPr>
                <w:bCs/>
                <w:b/>
                <w:sz w:val="18"/>
              </w:rPr>
              <w:t xml:space="preserve">Offres Spécifiques (OSS)</w:t>
            </w:r>
            <w:r>
              <w:rPr>
                <w:sz w:val="18"/>
              </w:rPr>
              <w:t xml:space="preserve"> </w:t>
            </w:r>
            <w:r>
              <w:rPr>
                <w:sz w:val="18"/>
              </w:rPr>
              <w:t xml:space="preserve">ne peuvent que la renforcer, jamais la réduire.</w:t>
            </w:r>
          </w:p>
        </w:tc>
      </w:tr>
      <w:tr>
        <w:trPr>
          <w:cantSplit w:val="true"/>
        </w:trPr>
        <w:tc>
          <w:tcPr>
            <w:tcW w:w="3273" w:type="dxa"/>
          </w:tcPr>
          <w:p>
            <w:pPr>
              <w:pStyle w:val="Compact"/>
              <w:spacing w:after="20" w:before="20"/>
              <w:jc w:val="left"/>
            </w:pPr>
            <w:r>
              <w:rPr>
                <w:bCs/>
                <w:b/>
                <w:sz w:val="18"/>
              </w:rPr>
              <w:t xml:space="preserve">Engagements</w:t>
            </w:r>
          </w:p>
        </w:tc>
        <w:tc>
          <w:tcPr>
            <w:tcW w:w="6138" w:type="dxa"/>
          </w:tcPr>
          <w:p>
            <w:pPr>
              <w:pStyle w:val="Compact"/>
              <w:spacing w:after="20" w:before="20"/>
              <w:jc w:val="left"/>
            </w:pPr>
            <w:r>
              <w:rPr>
                <w:sz w:val="18"/>
              </w:rPr>
              <w:t xml:space="preserve">DMIA et PDMA, engagements de la DSI dérivés de l'analyse d'impact, fixés par scénario d'indisponibilité, par contexte (PROD / Hors PROD) et, le cas échéant, par classe de criticité — voir §9.1.</w:t>
            </w:r>
          </w:p>
        </w:tc>
      </w:tr>
      <w:tr>
        <w:trPr>
          <w:cantSplit w:val="true"/>
        </w:trPr>
        <w:tc>
          <w:tcPr>
            <w:tcW w:w="3273" w:type="dxa"/>
            <w:shd w:val="clear" w:color="auto" w:fill="EEF2F6"/>
          </w:tcPr>
          <w:p>
            <w:pPr>
              <w:pStyle w:val="Compact"/>
              <w:spacing w:after="20" w:before="20"/>
              <w:jc w:val="left"/>
            </w:pPr>
            <w:r>
              <w:rPr>
                <w:bCs/>
                <w:b/>
                <w:sz w:val="18"/>
              </w:rPr>
              <w:t xml:space="preserve">Scénarios couverts</w:t>
            </w:r>
          </w:p>
        </w:tc>
        <w:tc>
          <w:tcPr>
            <w:tcW w:w="6138" w:type="dxa"/>
            <w:shd w:val="clear" w:color="auto" w:fill="EEF2F6"/>
          </w:tcPr>
          <w:p>
            <w:pPr>
              <w:pStyle w:val="Compact"/>
              <w:spacing w:after="20" w:before="20"/>
              <w:jc w:val="left"/>
            </w:pPr>
            <w:r>
              <w:rPr>
                <w:sz w:val="18"/>
              </w:rPr>
              <w:t xml:space="preserve">Fonctionnement nominal dégradé, Indisponibilité Logique Partielle (ILP), Indisponibilité Physique Partielle (IPP), Indisponibilité Logique Globale (ILG — dont rançongiciel), Indisponibilité Physique Globale (IPG). Le sinistre total est hors périmètre.</w:t>
            </w:r>
          </w:p>
        </w:tc>
      </w:tr>
      <w:tr>
        <w:trPr>
          <w:cantSplit w:val="true"/>
        </w:trPr>
        <w:tc>
          <w:tcPr>
            <w:tcW w:w="3273" w:type="dxa"/>
          </w:tcPr>
          <w:p>
            <w:pPr>
              <w:pStyle w:val="Compact"/>
              <w:spacing w:after="20" w:before="20"/>
              <w:jc w:val="left"/>
            </w:pPr>
            <w:r>
              <w:rPr>
                <w:bCs/>
                <w:b/>
                <w:sz w:val="18"/>
              </w:rPr>
              <w:t xml:space="preserve">Résilience cyber</w:t>
            </w:r>
          </w:p>
        </w:tc>
        <w:tc>
          <w:tcPr>
            <w:tcW w:w="6138" w:type="dxa"/>
          </w:tcPr>
          <w:p>
            <w:pPr>
              <w:pStyle w:val="Compact"/>
              <w:spacing w:after="20" w:before="20"/>
              <w:jc w:val="left"/>
            </w:pPr>
            <w:r>
              <w:rPr>
                <w:sz w:val="18"/>
              </w:rPr>
              <w:t xml:space="preserve">Au moins une copie</w:t>
            </w:r>
            <w:r>
              <w:rPr>
                <w:sz w:val="18"/>
              </w:rPr>
              <w:t xml:space="preserve"> </w:t>
            </w:r>
            <w:r>
              <w:rPr>
                <w:bCs/>
                <w:b/>
                <w:sz w:val="18"/>
              </w:rPr>
              <w:t xml:space="preserve">immuable et isolée</w:t>
            </w:r>
            <w:r>
              <w:rPr>
                <w:sz w:val="18"/>
              </w:rPr>
              <w:t xml:space="preserve"> </w:t>
            </w:r>
            <w:r>
              <w:rPr>
                <w:sz w:val="18"/>
              </w:rPr>
              <w:t xml:space="preserve">des sauvegardes (règle 3-2-1-1-0), plan d'administration des sauvegardes séparé, capacité de</w:t>
            </w:r>
            <w:r>
              <w:rPr>
                <w:sz w:val="18"/>
              </w:rPr>
              <w:t xml:space="preserve"> </w:t>
            </w:r>
            <w:r>
              <w:rPr>
                <w:bCs/>
                <w:b/>
                <w:sz w:val="18"/>
              </w:rPr>
              <w:t xml:space="preserve">reconstruction</w:t>
            </w:r>
            <w:r>
              <w:rPr>
                <w:sz w:val="18"/>
              </w:rPr>
              <w:t xml:space="preserve"> </w:t>
            </w:r>
            <w:r>
              <w:rPr>
                <w:sz w:val="18"/>
              </w:rPr>
              <w:t xml:space="preserve">des socles techniques (annuaire, DNS, sauvegarde elle-même).</w:t>
            </w:r>
          </w:p>
        </w:tc>
      </w:tr>
      <w:tr>
        <w:trPr>
          <w:cantSplit w:val="true"/>
        </w:trPr>
        <w:tc>
          <w:tcPr>
            <w:tcW w:w="3273" w:type="dxa"/>
            <w:shd w:val="clear" w:color="auto" w:fill="EEF2F6"/>
          </w:tcPr>
          <w:p>
            <w:pPr>
              <w:pStyle w:val="Compact"/>
              <w:spacing w:after="20" w:before="20"/>
              <w:jc w:val="left"/>
            </w:pPr>
            <w:r>
              <w:rPr>
                <w:bCs/>
                <w:b/>
                <w:sz w:val="18"/>
              </w:rPr>
              <w:t xml:space="preserve">Preuve d'efficacité</w:t>
            </w:r>
          </w:p>
        </w:tc>
        <w:tc>
          <w:tcPr>
            <w:tcW w:w="6138" w:type="dxa"/>
            <w:shd w:val="clear" w:color="auto" w:fill="EEF2F6"/>
          </w:tcPr>
          <w:p>
            <w:pPr>
              <w:pStyle w:val="Compact"/>
              <w:spacing w:after="20" w:before="20"/>
              <w:jc w:val="left"/>
            </w:pPr>
            <w:r>
              <w:rPr>
                <w:sz w:val="18"/>
              </w:rPr>
              <w:t xml:space="preserve">Restaurations « témoin » quotidiennes, exercices annuels validés par les métiers, contrôle mensuel par échantillonnage, audit annuel.</w:t>
            </w:r>
          </w:p>
        </w:tc>
      </w:tr>
      <w:tr>
        <w:trPr>
          <w:cantSplit w:val="true"/>
        </w:trPr>
        <w:tc>
          <w:tcPr>
            <w:tcW w:w="3273" w:type="dxa"/>
          </w:tcPr>
          <w:p>
            <w:pPr>
              <w:pStyle w:val="Compact"/>
              <w:spacing w:after="20" w:before="20"/>
              <w:jc w:val="left"/>
            </w:pPr>
            <w:r>
              <w:rPr>
                <w:bCs/>
                <w:b/>
                <w:sz w:val="18"/>
              </w:rPr>
              <w:t xml:space="preserve">Gouvernance</w:t>
            </w:r>
          </w:p>
        </w:tc>
        <w:tc>
          <w:tcPr>
            <w:tcW w:w="6138" w:type="dxa"/>
          </w:tcPr>
          <w:p>
            <w:pPr>
              <w:pStyle w:val="Compact"/>
              <w:spacing w:after="20" w:before="20"/>
              <w:jc w:val="left"/>
            </w:pPr>
            <w:r>
              <w:rPr>
                <w:sz w:val="18"/>
              </w:rPr>
              <w:t xml:space="preserve">10 rôles dont les propriétaires métier, RACI par activité, comitologie à trois niveaux (stratégique, tactique, opérationnel) raccordée à la cellule de crise, indicateurs IGO / IGT / IGS.</w:t>
            </w:r>
          </w:p>
        </w:tc>
      </w:tr>
      <w:tr>
        <w:trPr>
          <w:cantSplit w:val="true"/>
        </w:trPr>
        <w:tc>
          <w:tcPr>
            <w:tcW w:w="3273" w:type="dxa"/>
            <w:shd w:val="clear" w:color="auto" w:fill="EEF2F6"/>
          </w:tcPr>
          <w:p>
            <w:pPr>
              <w:pStyle w:val="Compact"/>
              <w:spacing w:after="20" w:before="20"/>
              <w:jc w:val="left"/>
            </w:pPr>
            <w:r>
              <w:rPr>
                <w:bCs/>
                <w:b/>
                <w:sz w:val="18"/>
              </w:rPr>
              <w:t xml:space="preserve">Risques majeurs de mise en œuvre</w:t>
            </w:r>
          </w:p>
        </w:tc>
        <w:tc>
          <w:tcPr>
            <w:tcW w:w="6138" w:type="dxa"/>
            <w:shd w:val="clear" w:color="auto" w:fill="EEF2F6"/>
          </w:tcPr>
          <w:p>
            <w:pPr>
              <w:pStyle w:val="Compact"/>
              <w:spacing w:after="20" w:before="20"/>
              <w:jc w:val="left"/>
            </w:pPr>
            <w:r>
              <w:rPr>
                <w:sz w:val="18"/>
              </w:rPr>
              <w:t xml:space="preserve">Retard de validation, défaut de suivi des incidents de sauvegarde, sécurisation pilotée par la technique plutôt que par le besoin métier (criticité 9/9 — voir §11.1).</w:t>
            </w:r>
          </w:p>
        </w:tc>
      </w:tr>
    </w:tbl>
    <w:p>
      <w:pPr>
        <w:pStyle w:val="BodyText"/>
      </w:pPr>
      <w:r>
        <w:rPr>
          <w:bCs/>
          <w:b/>
        </w:rPr>
        <w:t xml:space="preserve">Décisions attendues de la direction lors de l'adoption</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39"/>
        <w:gridCol w:w="4156"/>
        <w:gridCol w:w="3983"/>
        <w:gridCol w:w="933"/>
      </w:tblGrid>
      <w:tr>
        <w:trPr>
          <w:tblHeader w:val="true"/>
          <w:tblHeader w:val="true"/>
          <w:cantSplit w:val="true"/>
        </w:trPr>
        <w:tc>
          <w:tcPr>
            <w:tcW w:w="339" w:type="dxa"/>
            <w:shd w:val="clear" w:color="auto" w:fill="1F3A5F"/>
          </w:tcPr>
          <w:p>
            <w:pPr>
              <w:pStyle w:val="Compact"/>
              <w:spacing w:after="20" w:before="20"/>
              <w:jc w:val="left"/>
            </w:pPr>
            <w:r>
              <w:rPr>
                <w:b/>
                <w:color w:val="FFFFFF"/>
                <w:sz w:val="18"/>
              </w:rPr>
              <w:t xml:space="preserve">#</w:t>
            </w:r>
          </w:p>
        </w:tc>
        <w:tc>
          <w:tcPr>
            <w:tcW w:w="4156" w:type="dxa"/>
            <w:shd w:val="clear" w:color="auto" w:fill="1F3A5F"/>
          </w:tcPr>
          <w:p>
            <w:pPr>
              <w:pStyle w:val="Compact"/>
              <w:spacing w:after="20" w:before="20"/>
              <w:jc w:val="left"/>
            </w:pPr>
            <w:r>
              <w:rPr>
                <w:b/>
                <w:color w:val="FFFFFF"/>
                <w:sz w:val="18"/>
              </w:rPr>
              <w:t xml:space="preserve">Décision</w:t>
            </w:r>
          </w:p>
        </w:tc>
        <w:tc>
          <w:tcPr>
            <w:tcW w:w="3983" w:type="dxa"/>
            <w:shd w:val="clear" w:color="auto" w:fill="1F3A5F"/>
          </w:tcPr>
          <w:p>
            <w:pPr>
              <w:pStyle w:val="Compact"/>
              <w:spacing w:after="20" w:before="20"/>
              <w:jc w:val="left"/>
            </w:pPr>
            <w:r>
              <w:rPr>
                <w:b/>
                <w:color w:val="FFFFFF"/>
                <w:sz w:val="18"/>
              </w:rPr>
              <w:t xml:space="preserve">Impact</w:t>
            </w:r>
          </w:p>
        </w:tc>
        <w:tc>
          <w:tcPr>
            <w:tcW w:w="933" w:type="dxa"/>
            <w:shd w:val="clear" w:color="auto" w:fill="1F3A5F"/>
          </w:tcPr>
          <w:p>
            <w:pPr>
              <w:pStyle w:val="Compact"/>
              <w:spacing w:after="20" w:before="20"/>
              <w:jc w:val="left"/>
            </w:pPr>
            <w:r>
              <w:rPr>
                <w:b/>
                <w:color w:val="FFFFFF"/>
                <w:sz w:val="18"/>
              </w:rPr>
              <w:t xml:space="preserve">Urgence</w:t>
            </w:r>
          </w:p>
        </w:tc>
      </w:tr>
      <w:tr>
        <w:trPr>
          <w:cantSplit w:val="true"/>
        </w:trPr>
        <w:tc>
          <w:tcPr>
            <w:tcW w:w="339" w:type="dxa"/>
          </w:tcPr>
          <w:p>
            <w:pPr>
              <w:pStyle w:val="Compact"/>
              <w:spacing w:after="20" w:before="20"/>
              <w:jc w:val="left"/>
            </w:pPr>
            <w:r>
              <w:rPr>
                <w:sz w:val="18"/>
              </w:rPr>
              <w:t xml:space="preserve">1</w:t>
            </w:r>
          </w:p>
        </w:tc>
        <w:tc>
          <w:tcPr>
            <w:tcW w:w="4156" w:type="dxa"/>
          </w:tcPr>
          <w:p>
            <w:pPr>
              <w:pStyle w:val="Compact"/>
              <w:spacing w:after="20" w:before="20"/>
              <w:jc w:val="left"/>
            </w:pPr>
            <w:r>
              <w:rPr>
                <w:sz w:val="18"/>
              </w:rPr>
              <w:t xml:space="preserve">Valider les engagements DMIA / PDMA de l'OGS</w:t>
            </w:r>
          </w:p>
        </w:tc>
        <w:tc>
          <w:tcPr>
            <w:tcW w:w="3983" w:type="dxa"/>
          </w:tcPr>
          <w:p>
            <w:pPr>
              <w:pStyle w:val="Compact"/>
              <w:spacing w:after="20" w:before="20"/>
              <w:jc w:val="left"/>
            </w:pPr>
            <w:r>
              <w:rPr>
                <w:sz w:val="18"/>
              </w:rPr>
              <w:t xml:space="preserve">Dimensionne l'infrastructure et le budget</w:t>
            </w:r>
          </w:p>
        </w:tc>
        <w:tc>
          <w:tcPr>
            <w:tcW w:w="933" w:type="dxa"/>
          </w:tcPr>
          <w:p>
            <w:pPr>
              <w:pStyle w:val="Compact"/>
              <w:spacing w:after="20" w:before="20"/>
              <w:jc w:val="left"/>
            </w:pPr>
            <w:r>
              <w:rPr>
                <w:sz w:val="18"/>
              </w:rPr>
              <w:t xml:space="preserve">Haute</w:t>
            </w:r>
          </w:p>
        </w:tc>
      </w:tr>
      <w:tr>
        <w:trPr>
          <w:cantSplit w:val="true"/>
        </w:trPr>
        <w:tc>
          <w:tcPr>
            <w:tcW w:w="339" w:type="dxa"/>
            <w:shd w:val="clear" w:color="auto" w:fill="EEF2F6"/>
          </w:tcPr>
          <w:p>
            <w:pPr>
              <w:pStyle w:val="Compact"/>
              <w:spacing w:after="20" w:before="20"/>
              <w:jc w:val="left"/>
            </w:pPr>
            <w:r>
              <w:rPr>
                <w:sz w:val="18"/>
              </w:rPr>
              <w:t xml:space="preserve">2</w:t>
            </w:r>
          </w:p>
        </w:tc>
        <w:tc>
          <w:tcPr>
            <w:tcW w:w="4156" w:type="dxa"/>
            <w:shd w:val="clear" w:color="auto" w:fill="EEF2F6"/>
          </w:tcPr>
          <w:p>
            <w:pPr>
              <w:pStyle w:val="Compact"/>
              <w:spacing w:after="20" w:before="20"/>
              <w:jc w:val="left"/>
            </w:pPr>
            <w:r>
              <w:rPr>
                <w:sz w:val="18"/>
              </w:rPr>
              <w:t xml:space="preserve">Désigner le propriétaire de la stratégie (rôle RPCI)</w:t>
            </w:r>
          </w:p>
        </w:tc>
        <w:tc>
          <w:tcPr>
            <w:tcW w:w="3983" w:type="dxa"/>
            <w:shd w:val="clear" w:color="auto" w:fill="EEF2F6"/>
          </w:tcPr>
          <w:p>
            <w:pPr>
              <w:pStyle w:val="Compact"/>
              <w:spacing w:after="20" w:before="20"/>
              <w:jc w:val="left"/>
            </w:pPr>
            <w:r>
              <w:rPr>
                <w:sz w:val="18"/>
              </w:rPr>
              <w:t xml:space="preserve">Conditionne l'animation de toute la gouvernance</w:t>
            </w:r>
          </w:p>
        </w:tc>
        <w:tc>
          <w:tcPr>
            <w:tcW w:w="933" w:type="dxa"/>
            <w:shd w:val="clear" w:color="auto" w:fill="EEF2F6"/>
          </w:tcPr>
          <w:p>
            <w:pPr>
              <w:pStyle w:val="Compact"/>
              <w:spacing w:after="20" w:before="20"/>
              <w:jc w:val="left"/>
            </w:pPr>
            <w:r>
              <w:rPr>
                <w:sz w:val="18"/>
              </w:rPr>
              <w:t xml:space="preserve">Haute</w:t>
            </w:r>
          </w:p>
        </w:tc>
      </w:tr>
      <w:tr>
        <w:trPr>
          <w:cantSplit w:val="true"/>
        </w:trPr>
        <w:tc>
          <w:tcPr>
            <w:tcW w:w="339" w:type="dxa"/>
          </w:tcPr>
          <w:p>
            <w:pPr>
              <w:pStyle w:val="Compact"/>
              <w:spacing w:after="20" w:before="20"/>
              <w:jc w:val="left"/>
            </w:pPr>
            <w:r>
              <w:rPr>
                <w:sz w:val="18"/>
              </w:rPr>
              <w:t xml:space="preserve">3</w:t>
            </w:r>
          </w:p>
        </w:tc>
        <w:tc>
          <w:tcPr>
            <w:tcW w:w="4156" w:type="dxa"/>
          </w:tcPr>
          <w:p>
            <w:pPr>
              <w:pStyle w:val="Compact"/>
              <w:spacing w:after="20" w:before="20"/>
              <w:jc w:val="left"/>
            </w:pPr>
            <w:r>
              <w:rPr>
                <w:sz w:val="18"/>
              </w:rPr>
              <w:t xml:space="preserve">Arbitrer le niveau d'isolation des sauvegardes (coffre interne ou prestataire)</w:t>
            </w:r>
          </w:p>
        </w:tc>
        <w:tc>
          <w:tcPr>
            <w:tcW w:w="3983" w:type="dxa"/>
          </w:tcPr>
          <w:p>
            <w:pPr>
              <w:pStyle w:val="Compact"/>
              <w:spacing w:after="20" w:before="20"/>
              <w:jc w:val="left"/>
            </w:pPr>
            <w:r>
              <w:rPr>
                <w:sz w:val="18"/>
              </w:rPr>
              <w:t xml:space="preserve">Conditionne la survie au scénario ILG</w:t>
            </w:r>
          </w:p>
        </w:tc>
        <w:tc>
          <w:tcPr>
            <w:tcW w:w="933" w:type="dxa"/>
          </w:tcPr>
          <w:p>
            <w:pPr>
              <w:pStyle w:val="Compact"/>
              <w:spacing w:after="20" w:before="20"/>
              <w:jc w:val="left"/>
            </w:pPr>
            <w:r>
              <w:rPr>
                <w:sz w:val="18"/>
              </w:rPr>
              <w:t xml:space="preserve">Haute</w:t>
            </w:r>
          </w:p>
        </w:tc>
      </w:tr>
      <w:tr>
        <w:trPr>
          <w:cantSplit w:val="true"/>
        </w:trPr>
        <w:tc>
          <w:tcPr>
            <w:tcW w:w="339" w:type="dxa"/>
            <w:shd w:val="clear" w:color="auto" w:fill="EEF2F6"/>
          </w:tcPr>
          <w:p>
            <w:pPr>
              <w:pStyle w:val="Compact"/>
              <w:spacing w:after="20" w:before="20"/>
              <w:jc w:val="left"/>
            </w:pPr>
            <w:r>
              <w:rPr>
                <w:sz w:val="18"/>
              </w:rPr>
              <w:t xml:space="preserve">4</w:t>
            </w:r>
          </w:p>
        </w:tc>
        <w:tc>
          <w:tcPr>
            <w:tcW w:w="4156" w:type="dxa"/>
            <w:shd w:val="clear" w:color="auto" w:fill="EEF2F6"/>
          </w:tcPr>
          <w:p>
            <w:pPr>
              <w:pStyle w:val="Compact"/>
              <w:spacing w:after="20" w:before="20"/>
              <w:jc w:val="left"/>
            </w:pPr>
            <w:r>
              <w:rPr>
                <w:sz w:val="18"/>
              </w:rPr>
              <w:t xml:space="preserve">Accepter formellement le risque résiduel exclu du périmètre (sinistre total, §6.3.1)</w:t>
            </w:r>
          </w:p>
        </w:tc>
        <w:tc>
          <w:tcPr>
            <w:tcW w:w="3983" w:type="dxa"/>
            <w:shd w:val="clear" w:color="auto" w:fill="EEF2F6"/>
          </w:tcPr>
          <w:p>
            <w:pPr>
              <w:pStyle w:val="Compact"/>
              <w:spacing w:after="20" w:before="20"/>
              <w:jc w:val="left"/>
            </w:pPr>
            <w:r>
              <w:rPr>
                <w:sz w:val="18"/>
              </w:rPr>
              <w:t xml:space="preserve">Engage la direction sur ce que la stratégie ne couvre pas</w:t>
            </w:r>
          </w:p>
        </w:tc>
        <w:tc>
          <w:tcPr>
            <w:tcW w:w="933" w:type="dxa"/>
            <w:shd w:val="clear" w:color="auto" w:fill="EEF2F6"/>
          </w:tcPr>
          <w:p>
            <w:pPr>
              <w:pStyle w:val="Compact"/>
              <w:spacing w:after="20" w:before="20"/>
              <w:jc w:val="left"/>
            </w:pPr>
            <w:r>
              <w:rPr>
                <w:sz w:val="18"/>
              </w:rPr>
              <w:t xml:space="preserve">Haute</w:t>
            </w:r>
          </w:p>
        </w:tc>
      </w:tr>
      <w:tr>
        <w:trPr>
          <w:cantSplit w:val="true"/>
        </w:trPr>
        <w:tc>
          <w:tcPr>
            <w:tcW w:w="339" w:type="dxa"/>
          </w:tcPr>
          <w:p>
            <w:pPr>
              <w:pStyle w:val="Compact"/>
              <w:spacing w:after="20" w:before="20"/>
              <w:jc w:val="left"/>
            </w:pPr>
            <w:r>
              <w:rPr>
                <w:sz w:val="18"/>
              </w:rPr>
              <w:t xml:space="preserve">5</w:t>
            </w:r>
          </w:p>
        </w:tc>
        <w:tc>
          <w:tcPr>
            <w:tcW w:w="4156" w:type="dxa"/>
          </w:tcPr>
          <w:p>
            <w:pPr>
              <w:pStyle w:val="Compact"/>
              <w:spacing w:after="20" w:before="20"/>
              <w:jc w:val="left"/>
            </w:pPr>
            <w:r>
              <w:rPr>
                <w:sz w:val="18"/>
              </w:rPr>
              <w:t xml:space="preserve">Fixer l'échéance d'application</w:t>
            </w:r>
          </w:p>
        </w:tc>
        <w:tc>
          <w:tcPr>
            <w:tcW w:w="3983" w:type="dxa"/>
          </w:tcPr>
          <w:p>
            <w:pPr>
              <w:pStyle w:val="Compact"/>
              <w:spacing w:after="20" w:before="20"/>
              <w:jc w:val="left"/>
            </w:pPr>
            <w:r>
              <w:rPr>
                <w:sz w:val="18"/>
              </w:rPr>
              <w:t xml:space="preserve">Cadence le plan d'action</w:t>
            </w:r>
          </w:p>
        </w:tc>
        <w:tc>
          <w:tcPr>
            <w:tcW w:w="933" w:type="dxa"/>
          </w:tcPr>
          <w:p>
            <w:pPr>
              <w:pStyle w:val="Compact"/>
              <w:spacing w:after="20" w:before="20"/>
              <w:jc w:val="left"/>
            </w:pPr>
            <w:r>
              <w:rPr>
                <w:sz w:val="18"/>
              </w:rPr>
              <w:t xml:space="preserve">Moyenne</w:t>
            </w:r>
          </w:p>
        </w:tc>
      </w:tr>
    </w:tbl>
    <w:bookmarkEnd w:id="25"/>
    <w:bookmarkStart w:id="26" w:name="table-des-matières"/>
    <w:p>
      <w:pPr>
        <w:pStyle w:val="Heading2"/>
      </w:pPr>
      <w:r>
        <w:t xml:space="preserve">Table des matières</w:t>
      </w:r>
    </w:p>
    <w:p>
      <w:pPr>
        <w:numPr>
          <w:ilvl w:val="0"/>
          <w:numId w:val="1002"/>
        </w:numPr>
        <w:pStyle w:val="Compact"/>
      </w:pPr>
      <w:r>
        <w:t xml:space="preserve">Conventions</w:t>
      </w:r>
    </w:p>
    <w:p>
      <w:pPr>
        <w:numPr>
          <w:ilvl w:val="0"/>
          <w:numId w:val="1002"/>
        </w:numPr>
        <w:pStyle w:val="Compact"/>
      </w:pPr>
      <w:r>
        <w:t xml:space="preserve">La stratégie en huit actions</w:t>
      </w:r>
    </w:p>
    <w:p>
      <w:pPr>
        <w:numPr>
          <w:ilvl w:val="0"/>
          <w:numId w:val="1002"/>
        </w:numPr>
        <w:pStyle w:val="Compact"/>
      </w:pPr>
      <w:r>
        <w:t xml:space="preserve">Préambule</w:t>
      </w:r>
    </w:p>
    <w:p>
      <w:pPr>
        <w:numPr>
          <w:ilvl w:val="0"/>
          <w:numId w:val="1002"/>
        </w:numPr>
        <w:pStyle w:val="Compact"/>
      </w:pPr>
      <w:r>
        <w:t xml:space="preserve">Introduction</w:t>
      </w:r>
    </w:p>
    <w:p>
      <w:pPr>
        <w:numPr>
          <w:ilvl w:val="0"/>
          <w:numId w:val="1002"/>
        </w:numPr>
        <w:pStyle w:val="Compact"/>
      </w:pPr>
      <w:r>
        <w:t xml:space="preserve">Définitions, concepts et notions</w:t>
      </w:r>
    </w:p>
    <w:p>
      <w:pPr>
        <w:numPr>
          <w:ilvl w:val="0"/>
          <w:numId w:val="1002"/>
        </w:numPr>
        <w:pStyle w:val="Compact"/>
      </w:pPr>
      <w:r>
        <w:t xml:space="preserve">Périmètres et limites</w:t>
      </w:r>
    </w:p>
    <w:p>
      <w:pPr>
        <w:numPr>
          <w:ilvl w:val="0"/>
          <w:numId w:val="1002"/>
        </w:numPr>
        <w:pStyle w:val="Compact"/>
      </w:pPr>
      <w:r>
        <w:t xml:space="preserve">Gouvernance</w:t>
      </w:r>
    </w:p>
    <w:p>
      <w:pPr>
        <w:numPr>
          <w:ilvl w:val="0"/>
          <w:numId w:val="1002"/>
        </w:numPr>
        <w:pStyle w:val="Compact"/>
      </w:pPr>
      <w:r>
        <w:t xml:space="preserve">Modélisation des indisponibilités</w:t>
      </w:r>
    </w:p>
    <w:p>
      <w:pPr>
        <w:numPr>
          <w:ilvl w:val="0"/>
          <w:numId w:val="1002"/>
        </w:numPr>
        <w:pStyle w:val="Compact"/>
      </w:pPr>
      <w:r>
        <w:t xml:space="preserve">Offre Générale de Sauvegarde</w:t>
      </w:r>
    </w:p>
    <w:p>
      <w:pPr>
        <w:numPr>
          <w:ilvl w:val="0"/>
          <w:numId w:val="1002"/>
        </w:numPr>
        <w:pStyle w:val="Compact"/>
      </w:pPr>
      <w:r>
        <w:t xml:space="preserve">Offres Spécifiques de Sauvegarde</w:t>
      </w:r>
    </w:p>
    <w:p>
      <w:pPr>
        <w:numPr>
          <w:ilvl w:val="0"/>
          <w:numId w:val="1002"/>
        </w:numPr>
        <w:pStyle w:val="Compact"/>
      </w:pPr>
      <w:r>
        <w:t xml:space="preserve">Maîtrise des activités de sécurisation</w:t>
      </w:r>
    </w:p>
    <w:p>
      <w:pPr>
        <w:numPr>
          <w:ilvl w:val="0"/>
          <w:numId w:val="1002"/>
        </w:numPr>
        <w:pStyle w:val="Compact"/>
      </w:pPr>
      <w:r>
        <w:t xml:space="preserve">Annexes</w:t>
      </w:r>
    </w:p>
    <w:bookmarkEnd w:id="26"/>
    <w:bookmarkStart w:id="27" w:name="conventions"/>
    <w:p>
      <w:pPr>
        <w:pStyle w:val="Heading1"/>
      </w:pPr>
      <w:r>
        <w:t xml:space="preserve">1. Conventions</w:t>
      </w:r>
    </w:p>
    <w:p>
      <w:pPr>
        <w:pStyle w:val="FirstParagraph"/>
      </w:pPr>
      <w:r>
        <w:rPr>
          <w:bCs/>
          <w:b/>
        </w:rPr>
        <w:t xml:space="preserve">Conventions typographiques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263"/>
        <w:gridCol w:w="7148"/>
      </w:tblGrid>
      <w:tr>
        <w:trPr>
          <w:tblHeader w:val="true"/>
          <w:tblHeader w:val="true"/>
          <w:cantSplit w:val="true"/>
        </w:trPr>
        <w:tc>
          <w:tcPr>
            <w:tcW w:w="2263" w:type="dxa"/>
            <w:shd w:val="clear" w:color="auto" w:fill="1F3A5F"/>
          </w:tcPr>
          <w:p>
            <w:pPr>
              <w:pStyle w:val="Compact"/>
              <w:spacing w:after="20" w:before="20"/>
              <w:jc w:val="left"/>
            </w:pPr>
            <w:r>
              <w:rPr>
                <w:b/>
                <w:color w:val="FFFFFF"/>
                <w:sz w:val="18"/>
              </w:rPr>
              <w:t xml:space="preserve">Mise en forme</w:t>
            </w:r>
          </w:p>
        </w:tc>
        <w:tc>
          <w:tcPr>
            <w:tcW w:w="7148" w:type="dxa"/>
            <w:shd w:val="clear" w:color="auto" w:fill="1F3A5F"/>
          </w:tcPr>
          <w:p>
            <w:pPr>
              <w:pStyle w:val="Compact"/>
              <w:spacing w:after="20" w:before="20"/>
              <w:jc w:val="left"/>
            </w:pPr>
            <w:r>
              <w:rPr>
                <w:b/>
                <w:color w:val="FFFFFF"/>
                <w:sz w:val="18"/>
              </w:rPr>
              <w:t xml:space="preserve">Usage</w:t>
            </w:r>
          </w:p>
        </w:tc>
      </w:tr>
      <w:tr>
        <w:trPr>
          <w:cantSplit w:val="true"/>
        </w:trPr>
        <w:tc>
          <w:tcPr>
            <w:tcW w:w="2263" w:type="dxa"/>
          </w:tcPr>
          <w:p>
            <w:pPr>
              <w:pStyle w:val="Compact"/>
              <w:spacing w:after="20" w:before="20"/>
              <w:jc w:val="left"/>
            </w:pPr>
            <w:r>
              <w:rPr>
                <w:iCs/>
                <w:i/>
                <w:sz w:val="18"/>
              </w:rPr>
              <w:t xml:space="preserve">Texte en italique</w:t>
            </w:r>
          </w:p>
        </w:tc>
        <w:tc>
          <w:tcPr>
            <w:tcW w:w="7148" w:type="dxa"/>
          </w:tcPr>
          <w:p>
            <w:pPr>
              <w:pStyle w:val="Compact"/>
              <w:spacing w:after="20" w:before="20"/>
              <w:jc w:val="left"/>
            </w:pPr>
            <w:r>
              <w:rPr>
                <w:sz w:val="18"/>
              </w:rPr>
              <w:t xml:space="preserve">Exemple illustrant une définition ou enrichissant une explication</w:t>
            </w:r>
          </w:p>
        </w:tc>
      </w:tr>
      <w:tr>
        <w:trPr>
          <w:cantSplit w:val="true"/>
        </w:trPr>
        <w:tc>
          <w:tcPr>
            <w:tcW w:w="2263" w:type="dxa"/>
            <w:shd w:val="clear" w:color="auto" w:fill="EEF2F6"/>
          </w:tcPr>
          <w:p>
            <w:pPr>
              <w:pStyle w:val="Compact"/>
              <w:spacing w:after="20" w:before="20"/>
              <w:jc w:val="left"/>
            </w:pPr>
            <w:r>
              <w:rPr>
                <w:bCs/>
                <w:b/>
                <w:sz w:val="18"/>
              </w:rPr>
              <w:t xml:space="preserve">Texte en gras</w:t>
            </w:r>
          </w:p>
        </w:tc>
        <w:tc>
          <w:tcPr>
            <w:tcW w:w="7148" w:type="dxa"/>
            <w:shd w:val="clear" w:color="auto" w:fill="EEF2F6"/>
          </w:tcPr>
          <w:p>
            <w:pPr>
              <w:pStyle w:val="Compact"/>
              <w:spacing w:after="20" w:before="20"/>
              <w:jc w:val="left"/>
            </w:pPr>
            <w:r>
              <w:rPr>
                <w:sz w:val="18"/>
              </w:rPr>
              <w:t xml:space="preserve">Notion essentielle du paragraphe</w:t>
            </w:r>
          </w:p>
        </w:tc>
      </w:tr>
      <w:tr>
        <w:trPr>
          <w:cantSplit w:val="true"/>
        </w:trPr>
        <w:tc>
          <w:tcPr>
            <w:tcW w:w="2263" w:type="dxa"/>
          </w:tcPr>
          <w:p>
            <w:pPr>
              <w:pStyle w:val="Compact"/>
              <w:spacing w:after="20" w:before="20"/>
              <w:jc w:val="left"/>
            </w:pPr>
            <w:r>
              <w:rPr>
                <w:sz w:val="18"/>
              </w:rPr>
              <w:t xml:space="preserve">&gt; Bloc de citation</w:t>
            </w:r>
          </w:p>
        </w:tc>
        <w:tc>
          <w:tcPr>
            <w:tcW w:w="7148" w:type="dxa"/>
          </w:tcPr>
          <w:p>
            <w:pPr>
              <w:pStyle w:val="Compact"/>
              <w:spacing w:after="20" w:before="20"/>
              <w:jc w:val="left"/>
            </w:pPr>
            <w:r>
              <w:rPr>
                <w:sz w:val="18"/>
              </w:rPr>
              <w:t xml:space="preserve">Règle ou principe à retenir</w:t>
            </w:r>
          </w:p>
        </w:tc>
      </w:tr>
      <w:tr>
        <w:trPr>
          <w:cantSplit w:val="true"/>
        </w:trPr>
        <w:tc>
          <w:tcPr>
            <w:tcW w:w="2263" w:type="dxa"/>
            <w:shd w:val="clear" w:color="auto" w:fill="EEF2F6"/>
          </w:tcPr>
          <w:p>
            <w:pPr>
              <w:pStyle w:val="Compact"/>
              <w:spacing w:after="20" w:before="20"/>
              <w:jc w:val="left"/>
            </w:pPr>
            <w:r>
              <w:rPr>
                <w:sz w:val="18"/>
              </w:rPr>
              <w:t xml:space="preserve">⚠ Point d'attention</w:t>
            </w:r>
          </w:p>
        </w:tc>
        <w:tc>
          <w:tcPr>
            <w:tcW w:w="7148" w:type="dxa"/>
            <w:shd w:val="clear" w:color="auto" w:fill="EEF2F6"/>
          </w:tcPr>
          <w:p>
            <w:pPr>
              <w:pStyle w:val="Compact"/>
              <w:spacing w:after="20" w:before="20"/>
              <w:jc w:val="left"/>
            </w:pPr>
            <w:r>
              <w:rPr>
                <w:sz w:val="18"/>
              </w:rPr>
              <w:t xml:space="preserve">Risque ou limite à connaître</w:t>
            </w:r>
          </w:p>
        </w:tc>
      </w:tr>
    </w:tbl>
    <w:p>
      <w:pPr>
        <w:pStyle w:val="BodyText"/>
      </w:pPr>
      <w:r>
        <w:rPr>
          <w:bCs/>
          <w:b/>
        </w:rPr>
        <w:t xml:space="preserve">Conventions terminologiques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458"/>
        <w:gridCol w:w="7953"/>
      </w:tblGrid>
      <w:tr>
        <w:trPr>
          <w:tblHeader w:val="true"/>
          <w:tblHeader w:val="true"/>
          <w:cantSplit w:val="true"/>
        </w:trPr>
        <w:tc>
          <w:tcPr>
            <w:tcW w:w="1458" w:type="dxa"/>
            <w:shd w:val="clear" w:color="auto" w:fill="1F3A5F"/>
          </w:tcPr>
          <w:p>
            <w:pPr>
              <w:pStyle w:val="Compact"/>
              <w:spacing w:after="20" w:before="20"/>
              <w:jc w:val="left"/>
            </w:pPr>
            <w:r>
              <w:rPr>
                <w:b/>
                <w:color w:val="FFFFFF"/>
                <w:sz w:val="18"/>
              </w:rPr>
              <w:t xml:space="preserve">Terme</w:t>
            </w:r>
          </w:p>
        </w:tc>
        <w:tc>
          <w:tcPr>
            <w:tcW w:w="7953" w:type="dxa"/>
            <w:shd w:val="clear" w:color="auto" w:fill="1F3A5F"/>
          </w:tcPr>
          <w:p>
            <w:pPr>
              <w:pStyle w:val="Compact"/>
              <w:spacing w:after="20" w:before="20"/>
              <w:jc w:val="left"/>
            </w:pPr>
            <w:r>
              <w:rPr>
                <w:b/>
                <w:color w:val="FFFFFF"/>
                <w:sz w:val="18"/>
              </w:rPr>
              <w:t xml:space="preserve">Signification dans ce document</w:t>
            </w:r>
          </w:p>
        </w:tc>
      </w:tr>
      <w:tr>
        <w:trPr>
          <w:cantSplit w:val="true"/>
        </w:trPr>
        <w:tc>
          <w:tcPr>
            <w:tcW w:w="1458" w:type="dxa"/>
          </w:tcPr>
          <w:p>
            <w:pPr>
              <w:pStyle w:val="Compact"/>
              <w:spacing w:after="20" w:before="20"/>
              <w:jc w:val="left"/>
            </w:pPr>
            <w:r>
              <w:rPr>
                <w:sz w:val="18"/>
              </w:rPr>
              <w:t xml:space="preserve">Sauvegarde</w:t>
            </w:r>
          </w:p>
        </w:tc>
        <w:tc>
          <w:tcPr>
            <w:tcW w:w="7953" w:type="dxa"/>
          </w:tcPr>
          <w:p>
            <w:pPr>
              <w:pStyle w:val="Compact"/>
              <w:spacing w:after="20" w:before="20"/>
              <w:jc w:val="left"/>
            </w:pPr>
            <w:r>
              <w:rPr>
                <w:sz w:val="18"/>
              </w:rPr>
              <w:t xml:space="preserve">Sauf précision contraire : sauvegardes, restaurations et reconstruction</w:t>
            </w:r>
          </w:p>
        </w:tc>
      </w:tr>
      <w:tr>
        <w:trPr>
          <w:cantSplit w:val="true"/>
        </w:trPr>
        <w:tc>
          <w:tcPr>
            <w:tcW w:w="1458" w:type="dxa"/>
            <w:shd w:val="clear" w:color="auto" w:fill="EEF2F6"/>
          </w:tcPr>
          <w:p>
            <w:pPr>
              <w:pStyle w:val="Compact"/>
              <w:spacing w:after="20" w:before="20"/>
              <w:jc w:val="left"/>
            </w:pPr>
            <w:r>
              <w:rPr>
                <w:sz w:val="18"/>
              </w:rPr>
              <w:t xml:space="preserve">PROD</w:t>
            </w:r>
          </w:p>
        </w:tc>
        <w:tc>
          <w:tcPr>
            <w:tcW w:w="7953" w:type="dxa"/>
            <w:shd w:val="clear" w:color="auto" w:fill="EEF2F6"/>
          </w:tcPr>
          <w:p>
            <w:pPr>
              <w:pStyle w:val="Compact"/>
              <w:spacing w:after="20" w:before="20"/>
              <w:jc w:val="left"/>
            </w:pPr>
            <w:r>
              <w:rPr>
                <w:sz w:val="18"/>
              </w:rPr>
              <w:t xml:space="preserve">Environnements de production, de formation et d'infrastructure</w:t>
            </w:r>
          </w:p>
        </w:tc>
      </w:tr>
      <w:tr>
        <w:trPr>
          <w:cantSplit w:val="true"/>
        </w:trPr>
        <w:tc>
          <w:tcPr>
            <w:tcW w:w="1458" w:type="dxa"/>
          </w:tcPr>
          <w:p>
            <w:pPr>
              <w:pStyle w:val="Compact"/>
              <w:spacing w:after="20" w:before="20"/>
              <w:jc w:val="left"/>
            </w:pPr>
            <w:r>
              <w:rPr>
                <w:sz w:val="18"/>
              </w:rPr>
              <w:t xml:space="preserve">Hors PROD</w:t>
            </w:r>
          </w:p>
        </w:tc>
        <w:tc>
          <w:tcPr>
            <w:tcW w:w="7953" w:type="dxa"/>
          </w:tcPr>
          <w:p>
            <w:pPr>
              <w:pStyle w:val="Compact"/>
              <w:spacing w:after="20" w:before="20"/>
              <w:jc w:val="left"/>
            </w:pPr>
            <w:r>
              <w:rPr>
                <w:sz w:val="18"/>
              </w:rPr>
              <w:t xml:space="preserve">Tous les autres environnements</w:t>
            </w:r>
          </w:p>
        </w:tc>
      </w:tr>
      <w:tr>
        <w:trPr>
          <w:cantSplit w:val="true"/>
        </w:trPr>
        <w:tc>
          <w:tcPr>
            <w:tcW w:w="1458" w:type="dxa"/>
            <w:shd w:val="clear" w:color="auto" w:fill="EEF2F6"/>
          </w:tcPr>
          <w:p>
            <w:pPr>
              <w:pStyle w:val="Compact"/>
              <w:spacing w:after="20" w:before="20"/>
              <w:jc w:val="left"/>
            </w:pPr>
            <w:r>
              <w:rPr>
                <w:sz w:val="18"/>
              </w:rPr>
              <w:t xml:space="preserve">Métiers</w:t>
            </w:r>
          </w:p>
        </w:tc>
        <w:tc>
          <w:tcPr>
            <w:tcW w:w="7953" w:type="dxa"/>
            <w:shd w:val="clear" w:color="auto" w:fill="EEF2F6"/>
          </w:tcPr>
          <w:p>
            <w:pPr>
              <w:pStyle w:val="Compact"/>
              <w:spacing w:after="20" w:before="20"/>
              <w:jc w:val="left"/>
            </w:pPr>
            <w:r>
              <w:rPr>
                <w:sz w:val="18"/>
              </w:rPr>
              <w:t xml:space="preserve">Directions utilisatrices, propriétaires des données</w:t>
            </w:r>
          </w:p>
        </w:tc>
      </w:tr>
      <w:tr>
        <w:trPr>
          <w:cantSplit w:val="true"/>
        </w:trPr>
        <w:tc>
          <w:tcPr>
            <w:tcW w:w="1458" w:type="dxa"/>
          </w:tcPr>
          <w:p>
            <w:pPr>
              <w:pStyle w:val="Compact"/>
              <w:spacing w:after="20" w:before="20"/>
              <w:jc w:val="left"/>
            </w:pPr>
            <w:r>
              <w:rPr>
                <w:sz w:val="18"/>
              </w:rPr>
              <w:t xml:space="preserve">DMIA / PDMA</w:t>
            </w:r>
          </w:p>
        </w:tc>
        <w:tc>
          <w:tcPr>
            <w:tcW w:w="7953" w:type="dxa"/>
          </w:tcPr>
          <w:p>
            <w:pPr>
              <w:pStyle w:val="Compact"/>
              <w:spacing w:after="20" w:before="20"/>
              <w:jc w:val="left"/>
            </w:pPr>
            <w:r>
              <w:rPr>
                <w:sz w:val="18"/>
              </w:rPr>
              <w:t xml:space="preserve">Durée Maximale d'Interruption Admissible (RTO) / Perte de Données Maximale Admissible (RPO)</w:t>
            </w:r>
          </w:p>
        </w:tc>
      </w:tr>
    </w:tbl>
    <w:bookmarkEnd w:id="27"/>
    <w:bookmarkStart w:id="28" w:name="la-stratégie-en-huit-actions"/>
    <w:p>
      <w:pPr>
        <w:pStyle w:val="Heading1"/>
      </w:pPr>
      <w:r>
        <w:t xml:space="preserve">2. La stratégie en huit actions</w:t>
      </w:r>
    </w:p>
    <w:p>
      <w:pPr>
        <w:pStyle w:val="FirstParagraph"/>
      </w:pPr>
      <w:r>
        <w:t xml:space="preserve">La stratégie de sauvegarde a pour objectif de soutenir l'activité en réduisant et en limitant les indisponibilités des données et des applications métier en cas d'incident ou de sinistre. Elle se compose de huit actions :</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86"/>
        <w:gridCol w:w="7736"/>
        <w:gridCol w:w="1289"/>
      </w:tblGrid>
      <w:tr>
        <w:trPr>
          <w:tblHeader w:val="true"/>
          <w:tblHeader w:val="true"/>
          <w:cantSplit w:val="true"/>
        </w:trPr>
        <w:tc>
          <w:tcPr>
            <w:tcW w:w="386" w:type="dxa"/>
            <w:shd w:val="clear" w:color="auto" w:fill="1F3A5F"/>
          </w:tcPr>
          <w:p>
            <w:pPr>
              <w:pStyle w:val="Compact"/>
              <w:spacing w:after="20" w:before="20"/>
              <w:jc w:val="left"/>
            </w:pPr>
            <w:r>
              <w:rPr>
                <w:b/>
                <w:color w:val="FFFFFF"/>
                <w:sz w:val="18"/>
              </w:rPr>
              <w:t xml:space="preserve">#</w:t>
            </w:r>
          </w:p>
        </w:tc>
        <w:tc>
          <w:tcPr>
            <w:tcW w:w="7736" w:type="dxa"/>
            <w:shd w:val="clear" w:color="auto" w:fill="1F3A5F"/>
          </w:tcPr>
          <w:p>
            <w:pPr>
              <w:pStyle w:val="Compact"/>
              <w:spacing w:after="20" w:before="20"/>
              <w:jc w:val="left"/>
            </w:pPr>
            <w:r>
              <w:rPr>
                <w:b/>
                <w:color w:val="FFFFFF"/>
                <w:sz w:val="18"/>
              </w:rPr>
              <w:t xml:space="preserve">Action</w:t>
            </w:r>
          </w:p>
        </w:tc>
        <w:tc>
          <w:tcPr>
            <w:tcW w:w="1289" w:type="dxa"/>
            <w:shd w:val="clear" w:color="auto" w:fill="1F3A5F"/>
          </w:tcPr>
          <w:p>
            <w:pPr>
              <w:pStyle w:val="Compact"/>
              <w:spacing w:after="20" w:before="20"/>
              <w:jc w:val="left"/>
            </w:pPr>
            <w:r>
              <w:rPr>
                <w:b/>
                <w:color w:val="FFFFFF"/>
                <w:sz w:val="18"/>
              </w:rPr>
              <w:t xml:space="preserve">Chapitre</w:t>
            </w:r>
          </w:p>
        </w:tc>
      </w:tr>
      <w:tr>
        <w:trPr>
          <w:cantSplit w:val="true"/>
        </w:trPr>
        <w:tc>
          <w:tcPr>
            <w:tcW w:w="386" w:type="dxa"/>
          </w:tcPr>
          <w:p>
            <w:pPr>
              <w:pStyle w:val="Compact"/>
              <w:spacing w:after="20" w:before="20"/>
              <w:jc w:val="left"/>
            </w:pPr>
            <w:r>
              <w:rPr>
                <w:sz w:val="18"/>
              </w:rPr>
              <w:t xml:space="preserve">1</w:t>
            </w:r>
          </w:p>
        </w:tc>
        <w:tc>
          <w:tcPr>
            <w:tcW w:w="7736" w:type="dxa"/>
          </w:tcPr>
          <w:p>
            <w:pPr>
              <w:pStyle w:val="Compact"/>
              <w:spacing w:after="20" w:before="20"/>
              <w:jc w:val="left"/>
            </w:pPr>
            <w:r>
              <w:rPr>
                <w:sz w:val="18"/>
              </w:rPr>
              <w:t xml:space="preserve">Partager des définitions, concepts et notions communs</w:t>
            </w:r>
          </w:p>
        </w:tc>
        <w:tc>
          <w:tcPr>
            <w:tcW w:w="1289" w:type="dxa"/>
          </w:tcPr>
          <w:p>
            <w:pPr>
              <w:pStyle w:val="Compact"/>
              <w:spacing w:after="20" w:before="20"/>
              <w:jc w:val="left"/>
            </w:pPr>
            <w:r>
              <w:rPr>
                <w:sz w:val="18"/>
              </w:rPr>
              <w:t xml:space="preserve">§5</w:t>
            </w:r>
          </w:p>
        </w:tc>
      </w:tr>
      <w:tr>
        <w:trPr>
          <w:cantSplit w:val="true"/>
        </w:trPr>
        <w:tc>
          <w:tcPr>
            <w:tcW w:w="386" w:type="dxa"/>
            <w:shd w:val="clear" w:color="auto" w:fill="EEF2F6"/>
          </w:tcPr>
          <w:p>
            <w:pPr>
              <w:pStyle w:val="Compact"/>
              <w:spacing w:after="20" w:before="20"/>
              <w:jc w:val="left"/>
            </w:pPr>
            <w:r>
              <w:rPr>
                <w:sz w:val="18"/>
              </w:rPr>
              <w:t xml:space="preserve">2</w:t>
            </w:r>
          </w:p>
        </w:tc>
        <w:tc>
          <w:tcPr>
            <w:tcW w:w="7736" w:type="dxa"/>
            <w:shd w:val="clear" w:color="auto" w:fill="EEF2F6"/>
          </w:tcPr>
          <w:p>
            <w:pPr>
              <w:pStyle w:val="Compact"/>
              <w:spacing w:after="20" w:before="20"/>
              <w:jc w:val="left"/>
            </w:pPr>
            <w:r>
              <w:rPr>
                <w:bCs/>
                <w:b/>
                <w:sz w:val="18"/>
              </w:rPr>
              <w:t xml:space="preserve">Déterminer la gouvernance</w:t>
            </w:r>
            <w:r>
              <w:rPr>
                <w:sz w:val="18"/>
              </w:rPr>
              <w:t xml:space="preserve"> </w:t>
            </w:r>
            <w:r>
              <w:rPr>
                <w:sz w:val="18"/>
              </w:rPr>
              <w:t xml:space="preserve">des activités de sécurisation</w:t>
            </w:r>
          </w:p>
        </w:tc>
        <w:tc>
          <w:tcPr>
            <w:tcW w:w="1289" w:type="dxa"/>
            <w:shd w:val="clear" w:color="auto" w:fill="EEF2F6"/>
          </w:tcPr>
          <w:p>
            <w:pPr>
              <w:pStyle w:val="Compact"/>
              <w:spacing w:after="20" w:before="20"/>
              <w:jc w:val="left"/>
            </w:pPr>
            <w:r>
              <w:rPr>
                <w:sz w:val="18"/>
              </w:rPr>
              <w:t xml:space="preserve">§7</w:t>
            </w:r>
          </w:p>
        </w:tc>
      </w:tr>
      <w:tr>
        <w:trPr>
          <w:cantSplit w:val="true"/>
        </w:trPr>
        <w:tc>
          <w:tcPr>
            <w:tcW w:w="386" w:type="dxa"/>
          </w:tcPr>
          <w:p>
            <w:pPr>
              <w:pStyle w:val="Compact"/>
              <w:spacing w:after="20" w:before="20"/>
              <w:jc w:val="left"/>
            </w:pPr>
            <w:r>
              <w:rPr>
                <w:sz w:val="18"/>
              </w:rPr>
              <w:t xml:space="preserve">3</w:t>
            </w:r>
          </w:p>
        </w:tc>
        <w:tc>
          <w:tcPr>
            <w:tcW w:w="7736" w:type="dxa"/>
          </w:tcPr>
          <w:p>
            <w:pPr>
              <w:pStyle w:val="Compact"/>
              <w:spacing w:after="20" w:before="20"/>
              <w:jc w:val="left"/>
            </w:pPr>
            <w:r>
              <w:rPr>
                <w:sz w:val="18"/>
              </w:rPr>
              <w:t xml:space="preserve">Modéliser les scénarios d'indisponibilité, en généralisant les dispositifs de haute disponibilité</w:t>
            </w:r>
          </w:p>
        </w:tc>
        <w:tc>
          <w:tcPr>
            <w:tcW w:w="1289" w:type="dxa"/>
          </w:tcPr>
          <w:p>
            <w:pPr>
              <w:pStyle w:val="Compact"/>
              <w:spacing w:after="20" w:before="20"/>
              <w:jc w:val="left"/>
            </w:pPr>
            <w:r>
              <w:rPr>
                <w:sz w:val="18"/>
              </w:rPr>
              <w:t xml:space="preserve">§8</w:t>
            </w:r>
          </w:p>
        </w:tc>
      </w:tr>
      <w:tr>
        <w:trPr>
          <w:cantSplit w:val="true"/>
        </w:trPr>
        <w:tc>
          <w:tcPr>
            <w:tcW w:w="386" w:type="dxa"/>
            <w:shd w:val="clear" w:color="auto" w:fill="EEF2F6"/>
          </w:tcPr>
          <w:p>
            <w:pPr>
              <w:pStyle w:val="Compact"/>
              <w:spacing w:after="20" w:before="20"/>
              <w:jc w:val="left"/>
            </w:pPr>
            <w:r>
              <w:rPr>
                <w:sz w:val="18"/>
              </w:rPr>
              <w:t xml:space="preserve">4</w:t>
            </w:r>
          </w:p>
        </w:tc>
        <w:tc>
          <w:tcPr>
            <w:tcW w:w="7736" w:type="dxa"/>
            <w:shd w:val="clear" w:color="auto" w:fill="EEF2F6"/>
          </w:tcPr>
          <w:p>
            <w:pPr>
              <w:pStyle w:val="Compact"/>
              <w:spacing w:after="20" w:before="20"/>
              <w:jc w:val="left"/>
            </w:pPr>
            <w:r>
              <w:rPr>
                <w:bCs/>
                <w:b/>
                <w:sz w:val="18"/>
              </w:rPr>
              <w:t xml:space="preserve">Structurer une Offre Générale de Sauvegarde (OGS)</w:t>
            </w:r>
            <w:r>
              <w:rPr>
                <w:sz w:val="18"/>
              </w:rPr>
              <w:t xml:space="preserve">, applicable par défaut à toutes les données du SI</w:t>
            </w:r>
          </w:p>
        </w:tc>
        <w:tc>
          <w:tcPr>
            <w:tcW w:w="1289" w:type="dxa"/>
            <w:shd w:val="clear" w:color="auto" w:fill="EEF2F6"/>
          </w:tcPr>
          <w:p>
            <w:pPr>
              <w:pStyle w:val="Compact"/>
              <w:spacing w:after="20" w:before="20"/>
              <w:jc w:val="left"/>
            </w:pPr>
            <w:r>
              <w:rPr>
                <w:sz w:val="18"/>
              </w:rPr>
              <w:t xml:space="preserve">§9</w:t>
            </w:r>
          </w:p>
        </w:tc>
      </w:tr>
      <w:tr>
        <w:trPr>
          <w:cantSplit w:val="true"/>
        </w:trPr>
        <w:tc>
          <w:tcPr>
            <w:tcW w:w="386" w:type="dxa"/>
          </w:tcPr>
          <w:p>
            <w:pPr>
              <w:pStyle w:val="Compact"/>
              <w:spacing w:after="20" w:before="20"/>
              <w:jc w:val="left"/>
            </w:pPr>
            <w:r>
              <w:rPr>
                <w:sz w:val="18"/>
              </w:rPr>
              <w:t xml:space="preserve">5</w:t>
            </w:r>
          </w:p>
        </w:tc>
        <w:tc>
          <w:tcPr>
            <w:tcW w:w="7736" w:type="dxa"/>
          </w:tcPr>
          <w:p>
            <w:pPr>
              <w:pStyle w:val="Compact"/>
              <w:spacing w:after="20" w:before="20"/>
              <w:jc w:val="left"/>
            </w:pPr>
            <w:r>
              <w:rPr>
                <w:sz w:val="18"/>
              </w:rPr>
              <w:t xml:space="preserve">Élaborer des Offres Spécifiques de Sauvegarde (OSS), complémentaires de l'OGS</w:t>
            </w:r>
          </w:p>
        </w:tc>
        <w:tc>
          <w:tcPr>
            <w:tcW w:w="1289" w:type="dxa"/>
          </w:tcPr>
          <w:p>
            <w:pPr>
              <w:pStyle w:val="Compact"/>
              <w:spacing w:after="20" w:before="20"/>
              <w:jc w:val="left"/>
            </w:pPr>
            <w:r>
              <w:rPr>
                <w:sz w:val="18"/>
              </w:rPr>
              <w:t xml:space="preserve">§10</w:t>
            </w:r>
          </w:p>
        </w:tc>
      </w:tr>
      <w:tr>
        <w:trPr>
          <w:cantSplit w:val="true"/>
        </w:trPr>
        <w:tc>
          <w:tcPr>
            <w:tcW w:w="386" w:type="dxa"/>
            <w:shd w:val="clear" w:color="auto" w:fill="EEF2F6"/>
          </w:tcPr>
          <w:p>
            <w:pPr>
              <w:pStyle w:val="Compact"/>
              <w:spacing w:after="20" w:before="20"/>
              <w:jc w:val="left"/>
            </w:pPr>
            <w:r>
              <w:rPr>
                <w:sz w:val="18"/>
              </w:rPr>
              <w:t xml:space="preserve">6</w:t>
            </w:r>
          </w:p>
        </w:tc>
        <w:tc>
          <w:tcPr>
            <w:tcW w:w="7736" w:type="dxa"/>
            <w:shd w:val="clear" w:color="auto" w:fill="EEF2F6"/>
          </w:tcPr>
          <w:p>
            <w:pPr>
              <w:pStyle w:val="Compact"/>
              <w:spacing w:after="20" w:before="20"/>
              <w:jc w:val="left"/>
            </w:pPr>
            <w:r>
              <w:rPr>
                <w:sz w:val="18"/>
              </w:rPr>
              <w:t xml:space="preserve">Mettre en œuvre les moyens de restauration et de reconstruction induits par les sauvegardes</w:t>
            </w:r>
          </w:p>
        </w:tc>
        <w:tc>
          <w:tcPr>
            <w:tcW w:w="1289" w:type="dxa"/>
            <w:shd w:val="clear" w:color="auto" w:fill="EEF2F6"/>
          </w:tcPr>
          <w:p>
            <w:pPr>
              <w:pStyle w:val="Compact"/>
              <w:spacing w:after="20" w:before="20"/>
              <w:jc w:val="left"/>
            </w:pPr>
            <w:r>
              <w:rPr>
                <w:sz w:val="18"/>
              </w:rPr>
              <w:t xml:space="preserve">§9.3, §9.4</w:t>
            </w:r>
          </w:p>
        </w:tc>
      </w:tr>
      <w:tr>
        <w:trPr>
          <w:cantSplit w:val="true"/>
        </w:trPr>
        <w:tc>
          <w:tcPr>
            <w:tcW w:w="386" w:type="dxa"/>
          </w:tcPr>
          <w:p>
            <w:pPr>
              <w:pStyle w:val="Compact"/>
              <w:spacing w:after="20" w:before="20"/>
              <w:jc w:val="left"/>
            </w:pPr>
            <w:r>
              <w:rPr>
                <w:sz w:val="18"/>
              </w:rPr>
              <w:t xml:space="preserve">7</w:t>
            </w:r>
          </w:p>
        </w:tc>
        <w:tc>
          <w:tcPr>
            <w:tcW w:w="7736" w:type="dxa"/>
          </w:tcPr>
          <w:p>
            <w:pPr>
              <w:pStyle w:val="Compact"/>
              <w:spacing w:after="20" w:before="20"/>
              <w:jc w:val="left"/>
            </w:pPr>
            <w:r>
              <w:rPr>
                <w:sz w:val="18"/>
              </w:rPr>
              <w:t xml:space="preserve">Éprouver régulièrement les dispositifs de sécurisation</w:t>
            </w:r>
          </w:p>
        </w:tc>
        <w:tc>
          <w:tcPr>
            <w:tcW w:w="1289" w:type="dxa"/>
          </w:tcPr>
          <w:p>
            <w:pPr>
              <w:pStyle w:val="Compact"/>
              <w:spacing w:after="20" w:before="20"/>
              <w:jc w:val="left"/>
            </w:pPr>
            <w:r>
              <w:rPr>
                <w:sz w:val="18"/>
              </w:rPr>
              <w:t xml:space="preserve">§9.2</w:t>
            </w:r>
          </w:p>
        </w:tc>
      </w:tr>
      <w:tr>
        <w:trPr>
          <w:cantSplit w:val="true"/>
        </w:trPr>
        <w:tc>
          <w:tcPr>
            <w:tcW w:w="386" w:type="dxa"/>
            <w:shd w:val="clear" w:color="auto" w:fill="EEF2F6"/>
          </w:tcPr>
          <w:p>
            <w:pPr>
              <w:pStyle w:val="Compact"/>
              <w:spacing w:after="20" w:before="20"/>
              <w:jc w:val="left"/>
            </w:pPr>
            <w:r>
              <w:rPr>
                <w:sz w:val="18"/>
              </w:rPr>
              <w:t xml:space="preserve">8</w:t>
            </w:r>
          </w:p>
        </w:tc>
        <w:tc>
          <w:tcPr>
            <w:tcW w:w="7736" w:type="dxa"/>
            <w:shd w:val="clear" w:color="auto" w:fill="EEF2F6"/>
          </w:tcPr>
          <w:p>
            <w:pPr>
              <w:pStyle w:val="Compact"/>
              <w:spacing w:after="20" w:before="20"/>
              <w:jc w:val="left"/>
            </w:pPr>
            <w:r>
              <w:rPr>
                <w:bCs/>
                <w:b/>
                <w:sz w:val="18"/>
              </w:rPr>
              <w:t xml:space="preserve">Veiller à la maîtrise</w:t>
            </w:r>
            <w:r>
              <w:rPr>
                <w:sz w:val="18"/>
              </w:rPr>
              <w:t xml:space="preserve"> </w:t>
            </w:r>
            <w:r>
              <w:rPr>
                <w:sz w:val="18"/>
              </w:rPr>
              <w:t xml:space="preserve">des activités de sécurisation</w:t>
            </w:r>
          </w:p>
        </w:tc>
        <w:tc>
          <w:tcPr>
            <w:tcW w:w="1289" w:type="dxa"/>
            <w:shd w:val="clear" w:color="auto" w:fill="EEF2F6"/>
          </w:tcPr>
          <w:p>
            <w:pPr>
              <w:pStyle w:val="Compact"/>
              <w:spacing w:after="20" w:before="20"/>
              <w:jc w:val="left"/>
            </w:pPr>
            <w:r>
              <w:rPr>
                <w:sz w:val="18"/>
              </w:rPr>
              <w:t xml:space="preserve">§11</w:t>
            </w:r>
          </w:p>
        </w:tc>
      </w:tr>
    </w:tbl>
    <w:p>
      <w:pPr>
        <w:numPr>
          <w:ilvl w:val="0"/>
          <w:numId w:val="1003"/>
        </w:numPr>
        <w:pStyle w:val="Compact"/>
      </w:pPr>
      <w:r>
        <w:rPr>
          <w:bCs/>
          <w:b/>
        </w:rPr>
        <w:t xml:space="preserve">La gouvernance</w:t>
      </w:r>
      <w:r>
        <w:t xml:space="preserve"> </w:t>
      </w:r>
      <w:r>
        <w:t xml:space="preserve">précise les rôles et les responsabilités afin de les implanter dans l'organisation et de définir la comitologie.</w:t>
      </w:r>
    </w:p>
    <w:p>
      <w:pPr>
        <w:numPr>
          <w:ilvl w:val="0"/>
          <w:numId w:val="1003"/>
        </w:numPr>
        <w:pStyle w:val="Compact"/>
      </w:pPr>
      <w:r>
        <w:rPr>
          <w:bCs/>
          <w:b/>
        </w:rPr>
        <w:t xml:space="preserve">L'OGS</w:t>
      </w:r>
      <w:r>
        <w:t xml:space="preserve"> </w:t>
      </w:r>
      <w:r>
        <w:t xml:space="preserve">est un ensemble de méthodes et de procédures appliqué à tout le SI, s'appuyant sur une infrastructure type, qui garantit un niveau de sécurisation standard, homogène et cohérent.</w:t>
      </w:r>
    </w:p>
    <w:p>
      <w:pPr>
        <w:numPr>
          <w:ilvl w:val="0"/>
          <w:numId w:val="1003"/>
        </w:numPr>
        <w:pStyle w:val="Compact"/>
      </w:pPr>
      <w:r>
        <w:rPr>
          <w:bCs/>
          <w:b/>
        </w:rPr>
        <w:t xml:space="preserve">Les OSS</w:t>
      </w:r>
      <w:r>
        <w:t xml:space="preserve"> </w:t>
      </w:r>
      <w:r>
        <w:t xml:space="preserve">prennent la forme d'annexes aux conventions de service. Elles ne peuvent ni réduire le niveau de l'OGS, ni la rendre incohérente. La convention de service type est hors du périmètre de la présente version.</w:t>
      </w:r>
    </w:p>
    <w:p>
      <w:pPr>
        <w:numPr>
          <w:ilvl w:val="0"/>
          <w:numId w:val="1003"/>
        </w:numPr>
        <w:pStyle w:val="Compact"/>
      </w:pPr>
      <w:r>
        <w:rPr>
          <w:bCs/>
          <w:b/>
        </w:rPr>
        <w:t xml:space="preserve">La maîtrise</w:t>
      </w:r>
      <w:r>
        <w:t xml:space="preserve"> </w:t>
      </w:r>
      <w:r>
        <w:t xml:space="preserve">repose sur un reporting alimenté par le suivi et le contrôle d'indicateurs, indispensable pour apprécier les risques et les réduire.</w:t>
      </w:r>
    </w:p>
    <w:bookmarkEnd w:id="28"/>
    <w:bookmarkStart w:id="29" w:name="préambule"/>
    <w:p>
      <w:pPr>
        <w:pStyle w:val="Heading1"/>
      </w:pPr>
      <w:r>
        <w:t xml:space="preserve">3. Préambule</w:t>
      </w:r>
    </w:p>
    <w:p>
      <w:pPr>
        <w:pStyle w:val="FirstParagraph"/>
      </w:pPr>
      <w:r>
        <w:t xml:space="preserve">Ce document s'intitule « Stratégie de sauvegarde, de restauration et de reconstruction » parce qu'il couvre :</w:t>
      </w:r>
    </w:p>
    <w:p>
      <w:pPr>
        <w:numPr>
          <w:ilvl w:val="0"/>
          <w:numId w:val="1004"/>
        </w:numPr>
        <w:pStyle w:val="Compact"/>
      </w:pPr>
      <w:r>
        <w:t xml:space="preserve">les besoins de sauvegarde de</w:t>
      </w:r>
      <w:r>
        <w:t xml:space="preserve"> </w:t>
      </w:r>
      <w:r>
        <w:rPr>
          <w:rStyle w:val="VerbatimChar"/>
          <w:b/>
          <w:color w:val="8A5A00"/>
        </w:rPr>
        <w:t xml:space="preserve">{{ORGANISATION}}</w:t>
      </w:r>
      <w:r>
        <w:t xml:space="preserve"> </w:t>
      </w:r>
      <w:r>
        <w:t xml:space="preserve">;</w:t>
      </w:r>
    </w:p>
    <w:p>
      <w:pPr>
        <w:numPr>
          <w:ilvl w:val="0"/>
          <w:numId w:val="1004"/>
        </w:numPr>
        <w:pStyle w:val="Compact"/>
      </w:pPr>
      <w:r>
        <w:t xml:space="preserve">les moyens de restauration et de reconstruction à mobiliser en cas de besoin.</w:t>
      </w:r>
    </w:p>
    <w:p>
      <w:pPr>
        <w:pStyle w:val="BlockText"/>
      </w:pPr>
      <w:r>
        <w:t xml:space="preserve">Cette stratégie a vocation à être</w:t>
      </w:r>
      <w:r>
        <w:t xml:space="preserve"> </w:t>
      </w:r>
      <w:r>
        <w:rPr>
          <w:bCs/>
          <w:b/>
        </w:rPr>
        <w:t xml:space="preserve">appliquée</w:t>
      </w:r>
      <w:r>
        <w:t xml:space="preserve"> </w:t>
      </w:r>
      <w:r>
        <w:t xml:space="preserve">à l'ensemble du système d'information de</w:t>
      </w:r>
      <w:r>
        <w:t xml:space="preserve"> </w:t>
      </w:r>
      <w:r>
        <w:rPr>
          <w:rStyle w:val="VerbatimChar"/>
          <w:b/>
          <w:color w:val="8A5A00"/>
        </w:rPr>
        <w:t xml:space="preserve">{{ORGANISATION}}</w:t>
      </w:r>
      <w:r>
        <w:t xml:space="preserve"> </w:t>
      </w:r>
      <w:r>
        <w:rPr>
          <w:bCs/>
          <w:b/>
        </w:rPr>
        <w:t xml:space="preserve">au plus tard le</w:t>
      </w:r>
      <w:r>
        <w:rPr>
          <w:bCs/>
          <w:b/>
        </w:rPr>
        <w:t xml:space="preserve"> </w:t>
      </w:r>
      <w:r>
        <w:rPr>
          <w:rStyle w:val="VerbatimChar"/>
          <w:bCs/>
          <w:b/>
          <w:color w:val="8A5A00"/>
        </w:rPr>
        <w:t xml:space="preserve">{{ÉCHÉANCE}}</w:t>
      </w:r>
      <w:r>
        <w:t xml:space="preserve">.</w:t>
      </w:r>
    </w:p>
    <w:p>
      <w:pPr>
        <w:pStyle w:val="FirstParagraph"/>
      </w:pPr>
      <w:r>
        <w:t xml:space="preserve">Elle a pour objectifs :</w:t>
      </w:r>
    </w:p>
    <w:p>
      <w:pPr>
        <w:numPr>
          <w:ilvl w:val="0"/>
          <w:numId w:val="1005"/>
        </w:numPr>
        <w:pStyle w:val="Compact"/>
      </w:pPr>
      <w:r>
        <w:t xml:space="preserve">de cadrer la gouvernance et les méthodes à installer au sein de</w:t>
      </w:r>
      <w:r>
        <w:t xml:space="preserve"> </w:t>
      </w:r>
      <w:r>
        <w:rPr>
          <w:rStyle w:val="VerbatimChar"/>
          <w:b/>
          <w:color w:val="8A5A00"/>
        </w:rPr>
        <w:t xml:space="preserve">{{ORGANISATION}}</w:t>
      </w:r>
      <w:r>
        <w:t xml:space="preserve">, sous la responsabilité de</w:t>
      </w:r>
      <w:r>
        <w:t xml:space="preserve"> </w:t>
      </w:r>
      <w:r>
        <w:rPr>
          <w:rStyle w:val="VerbatimChar"/>
          <w:b/>
          <w:color w:val="8A5A00"/>
        </w:rPr>
        <w:t xml:space="preserve">{{FONCTION_PROPRIETAIRE}}</w:t>
      </w:r>
      <w:r>
        <w:t xml:space="preserve"> </w:t>
      </w:r>
      <w:r>
        <w:rPr>
          <w:bCs/>
          <w:b/>
        </w:rPr>
        <w:t xml:space="preserve">[À COMPLÉTER]</w:t>
      </w:r>
      <w:r>
        <w:t xml:space="preserve"> </w:t>
      </w:r>
      <w:r>
        <w:t xml:space="preserve">;</w:t>
      </w:r>
    </w:p>
    <w:p>
      <w:pPr>
        <w:numPr>
          <w:ilvl w:val="0"/>
          <w:numId w:val="1005"/>
        </w:numPr>
        <w:pStyle w:val="Compact"/>
      </w:pPr>
      <w:r>
        <w:t xml:space="preserve">de fournir les cibles des solutions opérationnelles aux entités opérationnelles et aux partenaires ;</w:t>
      </w:r>
    </w:p>
    <w:p>
      <w:pPr>
        <w:numPr>
          <w:ilvl w:val="0"/>
          <w:numId w:val="1005"/>
        </w:numPr>
        <w:pStyle w:val="Compact"/>
      </w:pPr>
      <w:r>
        <w:t xml:space="preserve">de s'aligner avec la stratégie de continuité et de reprise de</w:t>
      </w:r>
      <w:r>
        <w:t xml:space="preserve"> </w:t>
      </w:r>
      <w:r>
        <w:rPr>
          <w:rStyle w:val="VerbatimChar"/>
          <w:b/>
          <w:color w:val="8A5A00"/>
        </w:rPr>
        <w:t xml:space="preserve">{{ORGANISATION}}</w:t>
      </w:r>
      <w:r>
        <w:t xml:space="preserve"> </w:t>
      </w:r>
      <w:r>
        <w:t xml:space="preserve">(et du groupe, le cas échéant).</w:t>
      </w:r>
    </w:p>
    <w:p>
      <w:pPr>
        <w:pStyle w:val="FirstParagraph"/>
      </w:pPr>
      <w:r>
        <w:t xml:space="preserve">Elle répond aux exigences de continuité métier sur la base de la synthèse des risques à couvrir, et notamment des causes d'</w:t>
      </w:r>
      <w:r>
        <w:rPr>
          <w:bCs/>
          <w:b/>
        </w:rPr>
        <w:t xml:space="preserve">Indisponibilité Logique</w:t>
      </w:r>
      <w:r>
        <w:t xml:space="preserve"> </w:t>
      </w:r>
      <w:r>
        <w:t xml:space="preserve">suivantes :</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998"/>
        <w:gridCol w:w="1415"/>
        <w:gridCol w:w="4998"/>
      </w:tblGrid>
      <w:tr>
        <w:trPr>
          <w:tblHeader w:val="true"/>
          <w:tblHeader w:val="true"/>
          <w:cantSplit w:val="true"/>
        </w:trPr>
        <w:tc>
          <w:tcPr>
            <w:tcW w:w="2998" w:type="dxa"/>
            <w:shd w:val="clear" w:color="auto" w:fill="1F3A5F"/>
          </w:tcPr>
          <w:p>
            <w:pPr>
              <w:pStyle w:val="Compact"/>
              <w:spacing w:after="20" w:before="20"/>
              <w:jc w:val="left"/>
            </w:pPr>
            <w:r>
              <w:rPr>
                <w:b/>
                <w:color w:val="FFFFFF"/>
                <w:sz w:val="18"/>
              </w:rPr>
              <w:t xml:space="preserve">Cause</w:t>
            </w:r>
          </w:p>
        </w:tc>
        <w:tc>
          <w:tcPr>
            <w:tcW w:w="1415" w:type="dxa"/>
            <w:shd w:val="clear" w:color="auto" w:fill="1F3A5F"/>
          </w:tcPr>
          <w:p>
            <w:pPr>
              <w:pStyle w:val="Compact"/>
              <w:spacing w:after="20" w:before="20"/>
              <w:jc w:val="left"/>
            </w:pPr>
            <w:r>
              <w:rPr>
                <w:b/>
                <w:color w:val="FFFFFF"/>
                <w:sz w:val="18"/>
              </w:rPr>
              <w:t xml:space="preserve">Origine</w:t>
            </w:r>
          </w:p>
        </w:tc>
        <w:tc>
          <w:tcPr>
            <w:tcW w:w="4998" w:type="dxa"/>
            <w:shd w:val="clear" w:color="auto" w:fill="1F3A5F"/>
          </w:tcPr>
          <w:p>
            <w:pPr>
              <w:pStyle w:val="Compact"/>
              <w:spacing w:after="20" w:before="20"/>
              <w:jc w:val="left"/>
            </w:pPr>
            <w:r>
              <w:rPr>
                <w:b/>
                <w:color w:val="FFFFFF"/>
                <w:sz w:val="18"/>
              </w:rPr>
              <w:t xml:space="preserve">Description</w:t>
            </w:r>
          </w:p>
        </w:tc>
      </w:tr>
      <w:tr>
        <w:trPr>
          <w:cantSplit w:val="true"/>
        </w:trPr>
        <w:tc>
          <w:tcPr>
            <w:tcW w:w="2998" w:type="dxa"/>
          </w:tcPr>
          <w:p>
            <w:pPr>
              <w:pStyle w:val="Compact"/>
              <w:spacing w:after="20" w:before="20"/>
              <w:jc w:val="left"/>
            </w:pPr>
            <w:r>
              <w:rPr>
                <w:sz w:val="18"/>
              </w:rPr>
              <w:t xml:space="preserve">Erreur de manipulation</w:t>
            </w:r>
          </w:p>
        </w:tc>
        <w:tc>
          <w:tcPr>
            <w:tcW w:w="1415" w:type="dxa"/>
          </w:tcPr>
          <w:p>
            <w:pPr>
              <w:pStyle w:val="Compact"/>
              <w:spacing w:after="20" w:before="20"/>
              <w:jc w:val="left"/>
            </w:pPr>
            <w:r>
              <w:rPr>
                <w:sz w:val="18"/>
              </w:rPr>
              <w:t xml:space="preserve">Humaine</w:t>
            </w:r>
          </w:p>
        </w:tc>
        <w:tc>
          <w:tcPr>
            <w:tcW w:w="4998" w:type="dxa"/>
          </w:tcPr>
          <w:p>
            <w:pPr>
              <w:pStyle w:val="Compact"/>
              <w:spacing w:after="20" w:before="20"/>
              <w:jc w:val="left"/>
            </w:pPr>
            <w:r>
              <w:rPr>
                <w:sz w:val="18"/>
              </w:rPr>
              <w:t xml:space="preserve">Certaines commandes ont des effets irréversibles sur la validité des données, applicatives ou système.</w:t>
            </w:r>
          </w:p>
        </w:tc>
      </w:tr>
      <w:tr>
        <w:trPr>
          <w:cantSplit w:val="true"/>
        </w:trPr>
        <w:tc>
          <w:tcPr>
            <w:tcW w:w="2998" w:type="dxa"/>
            <w:shd w:val="clear" w:color="auto" w:fill="EEF2F6"/>
          </w:tcPr>
          <w:p>
            <w:pPr>
              <w:pStyle w:val="Compact"/>
              <w:spacing w:after="20" w:before="20"/>
              <w:jc w:val="left"/>
            </w:pPr>
            <w:r>
              <w:rPr>
                <w:sz w:val="18"/>
              </w:rPr>
              <w:t xml:space="preserve">Malveillance interne</w:t>
            </w:r>
          </w:p>
        </w:tc>
        <w:tc>
          <w:tcPr>
            <w:tcW w:w="1415" w:type="dxa"/>
            <w:shd w:val="clear" w:color="auto" w:fill="EEF2F6"/>
          </w:tcPr>
          <w:p>
            <w:pPr>
              <w:pStyle w:val="Compact"/>
              <w:spacing w:after="20" w:before="20"/>
              <w:jc w:val="left"/>
            </w:pPr>
            <w:r>
              <w:rPr>
                <w:sz w:val="18"/>
              </w:rPr>
              <w:t xml:space="preserve">Humaine</w:t>
            </w:r>
          </w:p>
        </w:tc>
        <w:tc>
          <w:tcPr>
            <w:tcW w:w="4998" w:type="dxa"/>
            <w:shd w:val="clear" w:color="auto" w:fill="EEF2F6"/>
          </w:tcPr>
          <w:p>
            <w:pPr>
              <w:pStyle w:val="Compact"/>
              <w:spacing w:after="20" w:before="20"/>
              <w:jc w:val="left"/>
            </w:pPr>
            <w:r>
              <w:rPr>
                <w:sz w:val="18"/>
              </w:rPr>
              <w:t xml:space="preserve">Certaines commandes peuvent altérer les données de façon immédiate et irréversible. Les motifs sont multiples : ressentiment, détresse, départ contraint, corruption, menace.</w:t>
            </w:r>
          </w:p>
        </w:tc>
      </w:tr>
      <w:tr>
        <w:trPr>
          <w:cantSplit w:val="true"/>
        </w:trPr>
        <w:tc>
          <w:tcPr>
            <w:tcW w:w="2998" w:type="dxa"/>
          </w:tcPr>
          <w:p>
            <w:pPr>
              <w:pStyle w:val="Compact"/>
              <w:spacing w:after="20" w:before="20"/>
              <w:jc w:val="left"/>
            </w:pPr>
            <w:r>
              <w:rPr>
                <w:sz w:val="18"/>
              </w:rPr>
              <w:t xml:space="preserve">Infection et chiffrement malveillant</w:t>
            </w:r>
          </w:p>
        </w:tc>
        <w:tc>
          <w:tcPr>
            <w:tcW w:w="1415" w:type="dxa"/>
          </w:tcPr>
          <w:p>
            <w:pPr>
              <w:pStyle w:val="Compact"/>
              <w:spacing w:after="20" w:before="20"/>
              <w:jc w:val="left"/>
            </w:pPr>
            <w:r>
              <w:rPr>
                <w:sz w:val="18"/>
              </w:rPr>
              <w:t xml:space="preserve">Humaine (externe)</w:t>
            </w:r>
          </w:p>
        </w:tc>
        <w:tc>
          <w:tcPr>
            <w:tcW w:w="4998" w:type="dxa"/>
          </w:tcPr>
          <w:p>
            <w:pPr>
              <w:pStyle w:val="Compact"/>
              <w:spacing w:after="20" w:before="20"/>
              <w:jc w:val="left"/>
            </w:pPr>
            <w:r>
              <w:rPr>
                <w:sz w:val="18"/>
              </w:rPr>
              <w:t xml:space="preserve">Un logiciel malveillant, notamment un rançongiciel, se propage sur le réseau des serveurs et détruit ou chiffre les données. Selon l'attaque, la reconstruction complète d'un grand nombre de serveurs peut devenir nécessaire,</w:t>
            </w:r>
            <w:r>
              <w:rPr>
                <w:sz w:val="18"/>
              </w:rPr>
              <w:t xml:space="preserve"> </w:t>
            </w:r>
            <w:r>
              <w:rPr>
                <w:bCs/>
                <w:b/>
                <w:sz w:val="18"/>
              </w:rPr>
              <w:t xml:space="preserve">y compris celle de l'infrastructure de sauvegarde elle-même</w:t>
            </w:r>
            <w:r>
              <w:rPr>
                <w:sz w:val="18"/>
              </w:rPr>
              <w:t xml:space="preserve">.</w:t>
            </w:r>
          </w:p>
        </w:tc>
      </w:tr>
      <w:tr>
        <w:trPr>
          <w:cantSplit w:val="true"/>
        </w:trPr>
        <w:tc>
          <w:tcPr>
            <w:tcW w:w="2998" w:type="dxa"/>
            <w:shd w:val="clear" w:color="auto" w:fill="EEF2F6"/>
          </w:tcPr>
          <w:p>
            <w:pPr>
              <w:pStyle w:val="Compact"/>
              <w:spacing w:after="20" w:before="20"/>
              <w:jc w:val="left"/>
            </w:pPr>
            <w:r>
              <w:rPr>
                <w:sz w:val="18"/>
              </w:rPr>
              <w:t xml:space="preserve">Accident</w:t>
            </w:r>
          </w:p>
        </w:tc>
        <w:tc>
          <w:tcPr>
            <w:tcW w:w="1415" w:type="dxa"/>
            <w:shd w:val="clear" w:color="auto" w:fill="EEF2F6"/>
          </w:tcPr>
          <w:p>
            <w:pPr>
              <w:pStyle w:val="Compact"/>
              <w:spacing w:after="20" w:before="20"/>
              <w:jc w:val="left"/>
            </w:pPr>
            <w:r>
              <w:rPr>
                <w:sz w:val="18"/>
              </w:rPr>
              <w:t xml:space="preserve">Technique</w:t>
            </w:r>
          </w:p>
        </w:tc>
        <w:tc>
          <w:tcPr>
            <w:tcW w:w="4998" w:type="dxa"/>
            <w:shd w:val="clear" w:color="auto" w:fill="EEF2F6"/>
          </w:tcPr>
          <w:p>
            <w:pPr>
              <w:pStyle w:val="Compact"/>
              <w:spacing w:after="20" w:before="20"/>
              <w:jc w:val="left"/>
            </w:pPr>
            <w:r>
              <w:rPr>
                <w:sz w:val="18"/>
              </w:rPr>
              <w:t xml:space="preserve">Un défaut de microcode ou un incident de réplication peut propager une corruption et créer un désastre logique.</w:t>
            </w:r>
          </w:p>
        </w:tc>
      </w:tr>
    </w:tbl>
    <w:p>
      <w:pPr>
        <w:pStyle w:val="BodyText"/>
      </w:pPr>
      <w:r>
        <w:t xml:space="preserve">Elle prend également en compte les conséquences de la</w:t>
      </w:r>
      <w:r>
        <w:t xml:space="preserve"> </w:t>
      </w:r>
      <w:r>
        <w:rPr>
          <w:bCs/>
          <w:b/>
        </w:rPr>
        <w:t xml:space="preserve">destruction physique</w:t>
      </w:r>
      <w:r>
        <w:t xml:space="preserve"> </w:t>
      </w:r>
      <w:r>
        <w:t xml:space="preserve">des supports de stockage, dans les cas définis par la politique de sauvegarde.</w:t>
      </w:r>
    </w:p>
    <w:bookmarkEnd w:id="29"/>
    <w:bookmarkStart w:id="33" w:name="introduction"/>
    <w:p>
      <w:pPr>
        <w:pStyle w:val="Heading1"/>
      </w:pPr>
      <w:r>
        <w:t xml:space="preserve">4. Introduction</w:t>
      </w:r>
    </w:p>
    <w:bookmarkStart w:id="30" w:name="une-stratégie-pour-quoi-faire"/>
    <w:p>
      <w:pPr>
        <w:pStyle w:val="Heading2"/>
      </w:pPr>
      <w:r>
        <w:t xml:space="preserve">4.1 Une stratégie, pour quoi faire ?</w:t>
      </w:r>
    </w:p>
    <w:p>
      <w:pPr>
        <w:pStyle w:val="FirstParagraph"/>
      </w:pPr>
      <w:r>
        <w:t xml:space="preserve">La stratégie de sauvegarde décline le volet « sauvegarde » de la</w:t>
      </w:r>
      <w:r>
        <w:t xml:space="preserve"> </w:t>
      </w:r>
      <w:r>
        <w:rPr>
          <w:bCs/>
          <w:b/>
        </w:rPr>
        <w:t xml:space="preserve">PSSI</w:t>
      </w:r>
      <w:r>
        <w:t xml:space="preserve">. Elle construit un objectif cohérent en appliquant des</w:t>
      </w:r>
      <w:r>
        <w:t xml:space="preserve"> </w:t>
      </w:r>
      <w:r>
        <w:rPr>
          <w:bCs/>
          <w:b/>
        </w:rPr>
        <w:t xml:space="preserve">méthodes</w:t>
      </w:r>
      <w:r>
        <w:t xml:space="preserve"> </w:t>
      </w:r>
      <w:r>
        <w:t xml:space="preserve">homogènes, elles-mêmes déclinées en</w:t>
      </w:r>
      <w:r>
        <w:t xml:space="preserve"> </w:t>
      </w:r>
      <w:r>
        <w:rPr>
          <w:bCs/>
          <w:b/>
        </w:rPr>
        <w:t xml:space="preserve">procédures d'exploitation de sécurité</w:t>
      </w:r>
      <w:r>
        <w:t xml:space="preserve"> </w:t>
      </w:r>
      <w:r>
        <w:t xml:space="preserve">rationnelles.</w:t>
      </w:r>
    </w:p>
    <w:p>
      <w:pPr>
        <w:pStyle w:val="BodyText"/>
      </w:pPr>
      <w:r>
        <w:t xml:space="preserve">La</w:t>
      </w:r>
      <w:r>
        <w:t xml:space="preserve"> </w:t>
      </w:r>
      <w:r>
        <w:rPr>
          <w:bCs/>
          <w:b/>
        </w:rPr>
        <w:t xml:space="preserve">démarche</w:t>
      </w:r>
      <w:r>
        <w:t xml:space="preserve"> </w:t>
      </w:r>
      <w:r>
        <w:t xml:space="preserve">consiste à</w:t>
      </w:r>
      <w:r>
        <w:t xml:space="preserve"> </w:t>
      </w:r>
      <w:r>
        <w:rPr>
          <w:bCs/>
          <w:b/>
        </w:rPr>
        <w:t xml:space="preserve">identifier les besoins</w:t>
      </w:r>
      <w:r>
        <w:t xml:space="preserve"> </w:t>
      </w:r>
      <w:r>
        <w:t xml:space="preserve">métiers, pour</w:t>
      </w:r>
      <w:r>
        <w:t xml:space="preserve"> </w:t>
      </w:r>
      <w:r>
        <w:rPr>
          <w:bCs/>
          <w:b/>
        </w:rPr>
        <w:t xml:space="preserve">définir les engagements</w:t>
      </w:r>
      <w:r>
        <w:t xml:space="preserve"> </w:t>
      </w:r>
      <w:r>
        <w:t xml:space="preserve">à tenir et les</w:t>
      </w:r>
      <w:r>
        <w:t xml:space="preserve"> </w:t>
      </w:r>
      <w:r>
        <w:rPr>
          <w:bCs/>
          <w:b/>
        </w:rPr>
        <w:t xml:space="preserve">procédures d'exploitation de sécurité</w:t>
      </w:r>
      <w:r>
        <w:t xml:space="preserve"> </w:t>
      </w:r>
      <w:r>
        <w:t xml:space="preserve">à mettre en œuvre.</w:t>
      </w:r>
    </w:p>
    <w:p>
      <w:pPr>
        <w:pStyle w:val="SourceCode"/>
        <w:keepLines/>
      </w:pPr>
      <w:r>
        <w:rPr>
          <w:rStyle w:val="VerbatimChar"/>
          <w:rFonts w:ascii="DejaVu Sans Mono" w:hAnsi="DejaVu Sans Mono"/>
          <w:color w:val="1F3A5F"/>
          <w:sz w:val="14"/>
        </w:rPr>
        <w:t xml:space="preserve">   PSSI  ──►  STRATÉGIE (présent document)  ──►  Procédures d'exploitation de sécurité</w:t>
      </w:r>
      <w:r>
        <w:rPr>
          <w:rFonts w:ascii="DejaVu Sans Mono" w:hAnsi="DejaVu Sans Mono"/>
          <w:color w:val="1F3A5F"/>
          <w:sz w:val="14"/>
        </w:rPr>
        <w:br/>
      </w:r>
      <w:r>
        <w:rPr>
          <w:rStyle w:val="VerbatimChar"/>
          <w:rFonts w:ascii="DejaVu Sans Mono" w:hAnsi="DejaVu Sans Mono"/>
          <w:color w:val="1F3A5F"/>
          <w:sz w:val="14"/>
        </w:rPr>
        <w:t xml:space="preserve">                                             ──►  Procédures d'exploitation de sécurité</w:t>
      </w:r>
      <w:r>
        <w:rPr>
          <w:rFonts w:ascii="DejaVu Sans Mono" w:hAnsi="DejaVu Sans Mono"/>
          <w:color w:val="1F3A5F"/>
          <w:sz w:val="14"/>
        </w:rPr>
        <w:br/>
      </w:r>
      <w:r>
        <w:rPr>
          <w:rStyle w:val="VerbatimChar"/>
          <w:rFonts w:ascii="DejaVu Sans Mono" w:hAnsi="DejaVu Sans Mono"/>
          <w:color w:val="1F3A5F"/>
          <w:sz w:val="14"/>
        </w:rPr>
        <w:t xml:space="preserve">                                             ──►  …</w:t>
      </w:r>
    </w:p>
    <w:p>
      <w:pPr>
        <w:pStyle w:val="FirstParagraph"/>
      </w:pPr>
      <w:r>
        <w:t xml:space="preserve">Sa formalisation doit permettre :</w:t>
      </w:r>
    </w:p>
    <w:p>
      <w:pPr>
        <w:numPr>
          <w:ilvl w:val="0"/>
          <w:numId w:val="1006"/>
        </w:numPr>
        <w:pStyle w:val="Compact"/>
      </w:pPr>
      <w:r>
        <w:t xml:space="preserve">d'identifier les procédures d'exploitation de sécurité nécessaires et suffisantes ;</w:t>
      </w:r>
    </w:p>
    <w:p>
      <w:pPr>
        <w:numPr>
          <w:ilvl w:val="0"/>
          <w:numId w:val="1006"/>
        </w:numPr>
        <w:pStyle w:val="Compact"/>
      </w:pPr>
      <w:r>
        <w:t xml:space="preserve">d'identifier et d'adapter celles déjà en place ;</w:t>
      </w:r>
    </w:p>
    <w:p>
      <w:pPr>
        <w:numPr>
          <w:ilvl w:val="0"/>
          <w:numId w:val="1006"/>
        </w:numPr>
        <w:pStyle w:val="Compact"/>
      </w:pPr>
      <w:r>
        <w:t xml:space="preserve">de supprimer celles devenues obsolètes.</w:t>
      </w:r>
    </w:p>
    <w:bookmarkEnd w:id="30"/>
    <w:bookmarkStart w:id="31" w:name="ce-que-la-stratégie-ne-traite-pas"/>
    <w:p>
      <w:pPr>
        <w:pStyle w:val="Heading2"/>
      </w:pPr>
      <w:r>
        <w:t xml:space="preserve">4.2 Ce que la stratégie ne traite pas</w:t>
      </w:r>
    </w:p>
    <w:p>
      <w:pPr>
        <w:pStyle w:val="FirstParagraph"/>
      </w:pPr>
      <w:r>
        <w:t xml:space="preserve">La stratégie ne spécifie ni les procédures opérationnelles, ni les outils d'orchestration. Ces deux points relèvent des structures opérationnelles, sur la base d'un plan d'action construit en comparant la sécurisation existante aux règles de la présente stratégie (analyse d'écart).</w:t>
      </w:r>
    </w:p>
    <w:bookmarkEnd w:id="31"/>
    <w:bookmarkStart w:id="32" w:name="X45fe69cb80c2594eec93b5bf91d1617adc40f41"/>
    <w:p>
      <w:pPr>
        <w:pStyle w:val="Heading2"/>
      </w:pPr>
      <w:r>
        <w:t xml:space="preserve">4.3 Correspondance avec la PSSI et les référentiels</w:t>
      </w:r>
    </w:p>
    <w:p>
      <w:pPr>
        <w:pStyle w:val="FirstParagraph"/>
      </w:pPr>
      <w:r>
        <w:rPr>
          <w:bCs/>
          <w:b/>
        </w:rPr>
        <w:t xml:space="preserve">[À COMPLÉTER]</w:t>
      </w:r>
      <w:r>
        <w:t xml:space="preserve"> </w:t>
      </w:r>
      <w:r>
        <w:t xml:space="preserve">— La colonne « Règle PSSI » est à renseigner avec les identifiants de la PSSI de</w:t>
      </w:r>
      <w:r>
        <w:t xml:space="preserve"> </w:t>
      </w:r>
      <w:r>
        <w:rPr>
          <w:rStyle w:val="VerbatimChar"/>
          <w:b/>
          <w:color w:val="8A5A00"/>
        </w:rPr>
        <w:t xml:space="preserve">{{ORGANISATION}}</w:t>
      </w:r>
      <w:r>
        <w:t xml:space="preserve">. Les colonnes « référentiels » sont fournies à titre indicatif et doivent être vérifiées contre la version en vigueur de chaque texte.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2056"/>
        <w:gridCol w:w="735"/>
        <w:gridCol w:w="1179"/>
        <w:gridCol w:w="1230"/>
        <w:gridCol w:w="1328"/>
        <w:gridCol w:w="1131"/>
        <w:gridCol w:w="1751"/>
      </w:tblGrid>
      <w:tr>
        <w:trPr>
          <w:tblHeader w:val="true"/>
          <w:tblHeader w:val="true"/>
          <w:cantSplit w:val="true"/>
        </w:trPr>
        <w:tc>
          <w:tcPr>
            <w:tcW w:w="2056" w:type="dxa"/>
            <w:shd w:val="clear" w:color="auto" w:fill="1F3A5F"/>
          </w:tcPr>
          <w:p>
            <w:pPr>
              <w:pStyle w:val="Compact"/>
              <w:spacing w:after="20" w:before="20"/>
              <w:jc w:val="left"/>
            </w:pPr>
            <w:r>
              <w:rPr>
                <w:b/>
                <w:color w:val="FFFFFF"/>
                <w:sz w:val="18"/>
              </w:rPr>
              <w:t xml:space="preserve">Exigence</w:t>
            </w:r>
          </w:p>
        </w:tc>
        <w:tc>
          <w:tcPr>
            <w:tcW w:w="735" w:type="dxa"/>
            <w:shd w:val="clear" w:color="auto" w:fill="1F3A5F"/>
          </w:tcPr>
          <w:p>
            <w:pPr>
              <w:pStyle w:val="Compact"/>
              <w:spacing w:after="20" w:before="20"/>
              <w:jc w:val="left"/>
            </w:pPr>
            <w:r>
              <w:rPr>
                <w:b/>
                <w:color w:val="FFFFFF"/>
                <w:sz w:val="18"/>
              </w:rPr>
              <w:t xml:space="preserve">Règle PSSI</w:t>
            </w:r>
          </w:p>
        </w:tc>
        <w:tc>
          <w:tcPr>
            <w:tcW w:w="1179" w:type="dxa"/>
            <w:shd w:val="clear" w:color="auto" w:fill="1F3A5F"/>
          </w:tcPr>
          <w:p>
            <w:pPr>
              <w:pStyle w:val="Compact"/>
              <w:spacing w:after="20" w:before="20"/>
              <w:jc w:val="left"/>
            </w:pPr>
            <w:r>
              <w:rPr>
                <w:b/>
                <w:color w:val="FFFFFF"/>
                <w:sz w:val="18"/>
              </w:rPr>
              <w:t xml:space="preserve">Chapitre de la stratégie</w:t>
            </w:r>
          </w:p>
        </w:tc>
        <w:tc>
          <w:tcPr>
            <w:tcW w:w="1230" w:type="dxa"/>
            <w:shd w:val="clear" w:color="auto" w:fill="1F3A5F"/>
          </w:tcPr>
          <w:p>
            <w:pPr>
              <w:pStyle w:val="Compact"/>
              <w:spacing w:after="20" w:before="20"/>
              <w:jc w:val="left"/>
            </w:pPr>
            <w:r>
              <w:rPr>
                <w:b/>
                <w:color w:val="FFFFFF"/>
                <w:sz w:val="18"/>
              </w:rPr>
              <w:t xml:space="preserve">ISO 22301:2019</w:t>
            </w:r>
          </w:p>
        </w:tc>
        <w:tc>
          <w:tcPr>
            <w:tcW w:w="1328" w:type="dxa"/>
            <w:shd w:val="clear" w:color="auto" w:fill="1F3A5F"/>
          </w:tcPr>
          <w:p>
            <w:pPr>
              <w:pStyle w:val="Compact"/>
              <w:spacing w:after="20" w:before="20"/>
              <w:jc w:val="left"/>
            </w:pPr>
            <w:r>
              <w:rPr>
                <w:b/>
                <w:color w:val="FFFFFF"/>
                <w:sz w:val="18"/>
              </w:rPr>
              <w:t xml:space="preserve">ISO/IEC 27001:2022 (Annexe A)</w:t>
            </w:r>
          </w:p>
        </w:tc>
        <w:tc>
          <w:tcPr>
            <w:tcW w:w="1131" w:type="dxa"/>
            <w:shd w:val="clear" w:color="auto" w:fill="1F3A5F"/>
          </w:tcPr>
          <w:p>
            <w:pPr>
              <w:pStyle w:val="Compact"/>
              <w:spacing w:after="20" w:before="20"/>
              <w:jc w:val="left"/>
            </w:pPr>
            <w:r>
              <w:rPr>
                <w:b/>
                <w:color w:val="FFFFFF"/>
                <w:sz w:val="18"/>
              </w:rPr>
              <w:t xml:space="preserve">NIST CSF 2.0</w:t>
            </w:r>
          </w:p>
        </w:tc>
        <w:tc>
          <w:tcPr>
            <w:tcW w:w="1751" w:type="dxa"/>
            <w:shd w:val="clear" w:color="auto" w:fill="1F3A5F"/>
          </w:tcPr>
          <w:p>
            <w:pPr>
              <w:pStyle w:val="Compact"/>
              <w:spacing w:after="20" w:before="20"/>
              <w:jc w:val="left"/>
            </w:pPr>
            <w:r>
              <w:rPr>
                <w:b/>
                <w:color w:val="FFFFFF"/>
                <w:sz w:val="18"/>
              </w:rPr>
              <w:t xml:space="preserve">Textes réglementaires (si applicables)</w:t>
            </w:r>
          </w:p>
        </w:tc>
      </w:tr>
      <w:tr>
        <w:trPr>
          <w:cantSplit w:val="true"/>
        </w:trPr>
        <w:tc>
          <w:tcPr>
            <w:tcW w:w="2056" w:type="dxa"/>
          </w:tcPr>
          <w:p>
            <w:pPr>
              <w:pStyle w:val="Compact"/>
              <w:spacing w:after="20" w:before="20"/>
              <w:jc w:val="left"/>
            </w:pPr>
            <w:r>
              <w:rPr>
                <w:sz w:val="18"/>
              </w:rPr>
              <w:t xml:space="preserve">Analyse d'impact et objectifs de reprise</w:t>
            </w:r>
          </w:p>
        </w:tc>
        <w:tc>
          <w:tcPr>
            <w:tcW w:w="735" w:type="dxa"/>
          </w:tcPr>
          <w:p>
            <w:pPr>
              <w:pStyle w:val="Compact"/>
              <w:spacing w:after="20" w:before="20"/>
              <w:jc w:val="left"/>
            </w:pPr>
            <w:r>
              <w:rPr>
                <w:rStyle w:val="VerbatimChar"/>
                <w:b/>
                <w:color w:val="8A5A00"/>
                <w:sz w:val="18"/>
              </w:rPr>
              <w:t xml:space="preserve">{{…}}</w:t>
            </w:r>
          </w:p>
        </w:tc>
        <w:tc>
          <w:tcPr>
            <w:tcW w:w="1179" w:type="dxa"/>
          </w:tcPr>
          <w:p>
            <w:pPr>
              <w:pStyle w:val="Compact"/>
              <w:spacing w:after="20" w:before="20"/>
              <w:jc w:val="left"/>
            </w:pPr>
            <w:r>
              <w:rPr>
                <w:sz w:val="18"/>
              </w:rPr>
              <w:t xml:space="preserve">§5.2, §9.1</w:t>
            </w:r>
          </w:p>
        </w:tc>
        <w:tc>
          <w:tcPr>
            <w:tcW w:w="1230" w:type="dxa"/>
          </w:tcPr>
          <w:p>
            <w:pPr>
              <w:pStyle w:val="Compact"/>
              <w:spacing w:after="20" w:before="20"/>
              <w:jc w:val="left"/>
            </w:pPr>
            <w:r>
              <w:rPr>
                <w:sz w:val="18"/>
              </w:rPr>
              <w:t xml:space="preserve">8.2</w:t>
            </w:r>
          </w:p>
        </w:tc>
        <w:tc>
          <w:tcPr>
            <w:tcW w:w="1328" w:type="dxa"/>
          </w:tcPr>
          <w:p>
            <w:pPr>
              <w:pStyle w:val="Compact"/>
              <w:spacing w:after="20" w:before="20"/>
              <w:jc w:val="left"/>
            </w:pPr>
            <w:r>
              <w:rPr>
                <w:sz w:val="18"/>
              </w:rPr>
              <w:t xml:space="preserve">5.30</w:t>
            </w:r>
          </w:p>
        </w:tc>
        <w:tc>
          <w:tcPr>
            <w:tcW w:w="1131" w:type="dxa"/>
          </w:tcPr>
          <w:p>
            <w:pPr>
              <w:pStyle w:val="Compact"/>
              <w:spacing w:after="20" w:before="20"/>
              <w:jc w:val="left"/>
            </w:pPr>
            <w:r>
              <w:rPr>
                <w:sz w:val="18"/>
              </w:rPr>
              <w:t xml:space="preserve">ID.RA, RC.RP</w:t>
            </w:r>
          </w:p>
        </w:tc>
        <w:tc>
          <w:tcPr>
            <w:tcW w:w="1751" w:type="dxa"/>
          </w:tcPr>
          <w:p>
            <w:pPr>
              <w:pStyle w:val="Compact"/>
              <w:spacing w:after="20" w:before="20"/>
              <w:jc w:val="left"/>
            </w:pPr>
            <w:r>
              <w:rPr>
                <w:sz w:val="18"/>
              </w:rPr>
              <w:t xml:space="preserve">DORA art. 11 · NIS 2 art. 21 §2 c)</w:t>
            </w:r>
          </w:p>
        </w:tc>
      </w:tr>
      <w:tr>
        <w:trPr>
          <w:cantSplit w:val="true"/>
        </w:trPr>
        <w:tc>
          <w:tcPr>
            <w:tcW w:w="2056" w:type="dxa"/>
            <w:shd w:val="clear" w:color="auto" w:fill="EEF2F6"/>
          </w:tcPr>
          <w:p>
            <w:pPr>
              <w:pStyle w:val="Compact"/>
              <w:spacing w:after="20" w:before="20"/>
              <w:jc w:val="left"/>
            </w:pPr>
            <w:r>
              <w:rPr>
                <w:sz w:val="18"/>
              </w:rPr>
              <w:t xml:space="preserve">Sauvegarde des informations</w:t>
            </w:r>
          </w:p>
        </w:tc>
        <w:tc>
          <w:tcPr>
            <w:tcW w:w="735" w:type="dxa"/>
            <w:shd w:val="clear" w:color="auto" w:fill="EEF2F6"/>
          </w:tcPr>
          <w:p>
            <w:pPr>
              <w:pStyle w:val="Compact"/>
              <w:spacing w:after="20" w:before="20"/>
              <w:jc w:val="left"/>
            </w:pPr>
            <w:r>
              <w:rPr>
                <w:rStyle w:val="VerbatimChar"/>
                <w:b/>
                <w:color w:val="8A5A00"/>
                <w:sz w:val="18"/>
              </w:rPr>
              <w:t xml:space="preserve">{{…}}</w:t>
            </w:r>
          </w:p>
        </w:tc>
        <w:tc>
          <w:tcPr>
            <w:tcW w:w="1179" w:type="dxa"/>
            <w:shd w:val="clear" w:color="auto" w:fill="EEF2F6"/>
          </w:tcPr>
          <w:p>
            <w:pPr>
              <w:pStyle w:val="Compact"/>
              <w:spacing w:after="20" w:before="20"/>
              <w:jc w:val="left"/>
            </w:pPr>
            <w:r>
              <w:rPr>
                <w:sz w:val="18"/>
              </w:rPr>
              <w:t xml:space="preserve">§5.10 à §5.14, §9.3</w:t>
            </w:r>
          </w:p>
        </w:tc>
        <w:tc>
          <w:tcPr>
            <w:tcW w:w="1230" w:type="dxa"/>
            <w:shd w:val="clear" w:color="auto" w:fill="EEF2F6"/>
          </w:tcPr>
          <w:p>
            <w:pPr>
              <w:pStyle w:val="Compact"/>
              <w:spacing w:after="20" w:before="20"/>
              <w:jc w:val="left"/>
            </w:pPr>
            <w:r>
              <w:rPr>
                <w:sz w:val="18"/>
              </w:rPr>
              <w:t xml:space="preserve">8.3</w:t>
            </w:r>
          </w:p>
        </w:tc>
        <w:tc>
          <w:tcPr>
            <w:tcW w:w="1328" w:type="dxa"/>
            <w:shd w:val="clear" w:color="auto" w:fill="EEF2F6"/>
          </w:tcPr>
          <w:p>
            <w:pPr>
              <w:pStyle w:val="Compact"/>
              <w:spacing w:after="20" w:before="20"/>
              <w:jc w:val="left"/>
            </w:pPr>
            <w:r>
              <w:rPr>
                <w:sz w:val="18"/>
              </w:rPr>
              <w:t xml:space="preserve">8.13</w:t>
            </w:r>
          </w:p>
        </w:tc>
        <w:tc>
          <w:tcPr>
            <w:tcW w:w="1131" w:type="dxa"/>
            <w:shd w:val="clear" w:color="auto" w:fill="EEF2F6"/>
          </w:tcPr>
          <w:p>
            <w:pPr>
              <w:pStyle w:val="Compact"/>
              <w:spacing w:after="20" w:before="20"/>
              <w:jc w:val="left"/>
            </w:pPr>
            <w:r>
              <w:rPr>
                <w:sz w:val="18"/>
              </w:rPr>
              <w:t xml:space="preserve">PR.DS-11</w:t>
            </w:r>
          </w:p>
        </w:tc>
        <w:tc>
          <w:tcPr>
            <w:tcW w:w="1751" w:type="dxa"/>
            <w:shd w:val="clear" w:color="auto" w:fill="EEF2F6"/>
          </w:tcPr>
          <w:p>
            <w:pPr>
              <w:pStyle w:val="Compact"/>
              <w:spacing w:after="20" w:before="20"/>
              <w:jc w:val="left"/>
            </w:pPr>
            <w:r>
              <w:rPr>
                <w:sz w:val="18"/>
              </w:rPr>
              <w:t xml:space="preserve">NIS 2 art. 21 §2 c) · DORA art. 12</w:t>
            </w:r>
          </w:p>
        </w:tc>
      </w:tr>
      <w:tr>
        <w:trPr>
          <w:cantSplit w:val="true"/>
        </w:trPr>
        <w:tc>
          <w:tcPr>
            <w:tcW w:w="2056" w:type="dxa"/>
          </w:tcPr>
          <w:p>
            <w:pPr>
              <w:pStyle w:val="Compact"/>
              <w:spacing w:after="20" w:before="20"/>
              <w:jc w:val="left"/>
            </w:pPr>
            <w:r>
              <w:rPr>
                <w:sz w:val="18"/>
              </w:rPr>
              <w:t xml:space="preserve">Préparation des TIC à la continuité</w:t>
            </w:r>
          </w:p>
        </w:tc>
        <w:tc>
          <w:tcPr>
            <w:tcW w:w="735" w:type="dxa"/>
          </w:tcPr>
          <w:p>
            <w:pPr>
              <w:pStyle w:val="Compact"/>
              <w:spacing w:after="20" w:before="20"/>
              <w:jc w:val="left"/>
            </w:pPr>
            <w:r>
              <w:rPr>
                <w:rStyle w:val="VerbatimChar"/>
                <w:b/>
                <w:color w:val="8A5A00"/>
                <w:sz w:val="18"/>
              </w:rPr>
              <w:t xml:space="preserve">{{…}}</w:t>
            </w:r>
          </w:p>
        </w:tc>
        <w:tc>
          <w:tcPr>
            <w:tcW w:w="1179" w:type="dxa"/>
          </w:tcPr>
          <w:p>
            <w:pPr>
              <w:pStyle w:val="Compact"/>
              <w:spacing w:after="20" w:before="20"/>
              <w:jc w:val="left"/>
            </w:pPr>
            <w:r>
              <w:rPr>
                <w:sz w:val="18"/>
              </w:rPr>
              <w:t xml:space="preserve">§8, §9.1, §9.4</w:t>
            </w:r>
          </w:p>
        </w:tc>
        <w:tc>
          <w:tcPr>
            <w:tcW w:w="1230" w:type="dxa"/>
          </w:tcPr>
          <w:p>
            <w:pPr>
              <w:pStyle w:val="Compact"/>
              <w:spacing w:after="20" w:before="20"/>
              <w:jc w:val="left"/>
            </w:pPr>
            <w:r>
              <w:rPr>
                <w:sz w:val="18"/>
              </w:rPr>
              <w:t xml:space="preserve">8.3, 8.4</w:t>
            </w:r>
          </w:p>
        </w:tc>
        <w:tc>
          <w:tcPr>
            <w:tcW w:w="1328" w:type="dxa"/>
          </w:tcPr>
          <w:p>
            <w:pPr>
              <w:pStyle w:val="Compact"/>
              <w:spacing w:after="20" w:before="20"/>
              <w:jc w:val="left"/>
            </w:pPr>
            <w:r>
              <w:rPr>
                <w:sz w:val="18"/>
              </w:rPr>
              <w:t xml:space="preserve">5.30</w:t>
            </w:r>
          </w:p>
        </w:tc>
        <w:tc>
          <w:tcPr>
            <w:tcW w:w="1131" w:type="dxa"/>
          </w:tcPr>
          <w:p>
            <w:pPr>
              <w:pStyle w:val="Compact"/>
              <w:spacing w:after="20" w:before="20"/>
              <w:jc w:val="left"/>
            </w:pPr>
            <w:r>
              <w:rPr>
                <w:sz w:val="18"/>
              </w:rPr>
              <w:t xml:space="preserve">RC.RP</w:t>
            </w:r>
          </w:p>
        </w:tc>
        <w:tc>
          <w:tcPr>
            <w:tcW w:w="1751" w:type="dxa"/>
          </w:tcPr>
          <w:p>
            <w:pPr>
              <w:pStyle w:val="Compact"/>
              <w:spacing w:after="20" w:before="20"/>
              <w:jc w:val="left"/>
            </w:pPr>
            <w:r>
              <w:rPr>
                <w:sz w:val="18"/>
              </w:rPr>
              <w:t xml:space="preserve">NIS 2 art. 21 §2 c) · DORA art. 11</w:t>
            </w:r>
          </w:p>
        </w:tc>
      </w:tr>
      <w:tr>
        <w:trPr>
          <w:cantSplit w:val="true"/>
        </w:trPr>
        <w:tc>
          <w:tcPr>
            <w:tcW w:w="2056" w:type="dxa"/>
            <w:shd w:val="clear" w:color="auto" w:fill="EEF2F6"/>
          </w:tcPr>
          <w:p>
            <w:pPr>
              <w:pStyle w:val="Compact"/>
              <w:spacing w:after="20" w:before="20"/>
              <w:jc w:val="left"/>
            </w:pPr>
            <w:r>
              <w:rPr>
                <w:sz w:val="18"/>
              </w:rPr>
              <w:t xml:space="preserve">Tests de restauration et exercices</w:t>
            </w:r>
          </w:p>
        </w:tc>
        <w:tc>
          <w:tcPr>
            <w:tcW w:w="735" w:type="dxa"/>
            <w:shd w:val="clear" w:color="auto" w:fill="EEF2F6"/>
          </w:tcPr>
          <w:p>
            <w:pPr>
              <w:pStyle w:val="Compact"/>
              <w:spacing w:after="20" w:before="20"/>
              <w:jc w:val="left"/>
            </w:pPr>
            <w:r>
              <w:rPr>
                <w:rStyle w:val="VerbatimChar"/>
                <w:b/>
                <w:color w:val="8A5A00"/>
                <w:sz w:val="18"/>
              </w:rPr>
              <w:t xml:space="preserve">{{…}}</w:t>
            </w:r>
          </w:p>
        </w:tc>
        <w:tc>
          <w:tcPr>
            <w:tcW w:w="1179" w:type="dxa"/>
            <w:shd w:val="clear" w:color="auto" w:fill="EEF2F6"/>
          </w:tcPr>
          <w:p>
            <w:pPr>
              <w:pStyle w:val="Compact"/>
              <w:spacing w:after="20" w:before="20"/>
              <w:jc w:val="left"/>
            </w:pPr>
            <w:r>
              <w:rPr>
                <w:sz w:val="18"/>
              </w:rPr>
              <w:t xml:space="preserve">§9.2</w:t>
            </w:r>
          </w:p>
        </w:tc>
        <w:tc>
          <w:tcPr>
            <w:tcW w:w="1230" w:type="dxa"/>
            <w:shd w:val="clear" w:color="auto" w:fill="EEF2F6"/>
          </w:tcPr>
          <w:p>
            <w:pPr>
              <w:pStyle w:val="Compact"/>
              <w:spacing w:after="20" w:before="20"/>
              <w:jc w:val="left"/>
            </w:pPr>
            <w:r>
              <w:rPr>
                <w:sz w:val="18"/>
              </w:rPr>
              <w:t xml:space="preserve">8.5</w:t>
            </w:r>
          </w:p>
        </w:tc>
        <w:tc>
          <w:tcPr>
            <w:tcW w:w="1328" w:type="dxa"/>
            <w:shd w:val="clear" w:color="auto" w:fill="EEF2F6"/>
          </w:tcPr>
          <w:p>
            <w:pPr>
              <w:pStyle w:val="Compact"/>
              <w:spacing w:after="20" w:before="20"/>
              <w:jc w:val="left"/>
            </w:pPr>
            <w:r>
              <w:rPr>
                <w:sz w:val="18"/>
              </w:rPr>
              <w:t xml:space="preserve">8.13, 5.30</w:t>
            </w:r>
          </w:p>
        </w:tc>
        <w:tc>
          <w:tcPr>
            <w:tcW w:w="1131" w:type="dxa"/>
            <w:shd w:val="clear" w:color="auto" w:fill="EEF2F6"/>
          </w:tcPr>
          <w:p>
            <w:pPr>
              <w:pStyle w:val="Compact"/>
              <w:spacing w:after="20" w:before="20"/>
              <w:jc w:val="left"/>
            </w:pPr>
            <w:r>
              <w:rPr>
                <w:sz w:val="18"/>
              </w:rPr>
              <w:t xml:space="preserve">PR.DS-11, RC.RP</w:t>
            </w:r>
          </w:p>
        </w:tc>
        <w:tc>
          <w:tcPr>
            <w:tcW w:w="1751" w:type="dxa"/>
            <w:shd w:val="clear" w:color="auto" w:fill="EEF2F6"/>
          </w:tcPr>
          <w:p>
            <w:pPr>
              <w:pStyle w:val="Compact"/>
              <w:spacing w:after="20" w:before="20"/>
              <w:jc w:val="left"/>
            </w:pPr>
            <w:r>
              <w:rPr>
                <w:sz w:val="18"/>
              </w:rPr>
              <w:t xml:space="preserve">DORA art. 11 et 12</w:t>
            </w:r>
          </w:p>
        </w:tc>
      </w:tr>
      <w:tr>
        <w:trPr>
          <w:cantSplit w:val="true"/>
        </w:trPr>
        <w:tc>
          <w:tcPr>
            <w:tcW w:w="2056" w:type="dxa"/>
          </w:tcPr>
          <w:p>
            <w:pPr>
              <w:pStyle w:val="Compact"/>
              <w:spacing w:after="20" w:before="20"/>
              <w:jc w:val="left"/>
            </w:pPr>
            <w:r>
              <w:rPr>
                <w:sz w:val="18"/>
              </w:rPr>
              <w:t xml:space="preserve">Rôles et responsabilités</w:t>
            </w:r>
          </w:p>
        </w:tc>
        <w:tc>
          <w:tcPr>
            <w:tcW w:w="735" w:type="dxa"/>
          </w:tcPr>
          <w:p>
            <w:pPr>
              <w:pStyle w:val="Compact"/>
              <w:spacing w:after="20" w:before="20"/>
              <w:jc w:val="left"/>
            </w:pPr>
            <w:r>
              <w:rPr>
                <w:rStyle w:val="VerbatimChar"/>
                <w:b/>
                <w:color w:val="8A5A00"/>
                <w:sz w:val="18"/>
              </w:rPr>
              <w:t xml:space="preserve">{{…}}</w:t>
            </w:r>
          </w:p>
        </w:tc>
        <w:tc>
          <w:tcPr>
            <w:tcW w:w="1179" w:type="dxa"/>
          </w:tcPr>
          <w:p>
            <w:pPr>
              <w:pStyle w:val="Compact"/>
              <w:spacing w:after="20" w:before="20"/>
              <w:jc w:val="left"/>
            </w:pPr>
            <w:r>
              <w:rPr>
                <w:sz w:val="18"/>
              </w:rPr>
              <w:t xml:space="preserve">§7.1, §7.2</w:t>
            </w:r>
          </w:p>
        </w:tc>
        <w:tc>
          <w:tcPr>
            <w:tcW w:w="1230" w:type="dxa"/>
          </w:tcPr>
          <w:p>
            <w:pPr>
              <w:pStyle w:val="Compact"/>
              <w:spacing w:after="20" w:before="20"/>
              <w:jc w:val="left"/>
            </w:pPr>
            <w:r>
              <w:rPr>
                <w:sz w:val="18"/>
              </w:rPr>
              <w:t xml:space="preserve">5.3</w:t>
            </w:r>
          </w:p>
        </w:tc>
        <w:tc>
          <w:tcPr>
            <w:tcW w:w="1328" w:type="dxa"/>
          </w:tcPr>
          <w:p>
            <w:pPr>
              <w:pStyle w:val="Compact"/>
              <w:spacing w:after="20" w:before="20"/>
              <w:jc w:val="left"/>
            </w:pPr>
            <w:r>
              <w:rPr>
                <w:sz w:val="18"/>
              </w:rPr>
              <w:t xml:space="preserve">5.2</w:t>
            </w:r>
          </w:p>
        </w:tc>
        <w:tc>
          <w:tcPr>
            <w:tcW w:w="1131" w:type="dxa"/>
          </w:tcPr>
          <w:p>
            <w:pPr>
              <w:pStyle w:val="Compact"/>
              <w:spacing w:after="20" w:before="20"/>
              <w:jc w:val="left"/>
            </w:pPr>
            <w:r>
              <w:rPr>
                <w:sz w:val="18"/>
              </w:rPr>
              <w:t xml:space="preserve">GV.RR</w:t>
            </w:r>
          </w:p>
        </w:tc>
        <w:tc>
          <w:tcPr>
            <w:tcW w:w="1751" w:type="dxa"/>
          </w:tcPr>
          <w:p>
            <w:pPr>
              <w:pStyle w:val="Compact"/>
              <w:spacing w:after="20" w:before="20"/>
              <w:jc w:val="left"/>
            </w:pPr>
            <w:r>
              <w:rPr>
                <w:sz w:val="18"/>
              </w:rPr>
              <w:t xml:space="preserve">—</w:t>
            </w:r>
          </w:p>
        </w:tc>
      </w:tr>
      <w:tr>
        <w:trPr>
          <w:cantSplit w:val="true"/>
        </w:trPr>
        <w:tc>
          <w:tcPr>
            <w:tcW w:w="2056" w:type="dxa"/>
            <w:shd w:val="clear" w:color="auto" w:fill="EEF2F6"/>
          </w:tcPr>
          <w:p>
            <w:pPr>
              <w:pStyle w:val="Compact"/>
              <w:spacing w:after="20" w:before="20"/>
              <w:jc w:val="left"/>
            </w:pPr>
            <w:r>
              <w:rPr>
                <w:sz w:val="18"/>
              </w:rPr>
              <w:t xml:space="preserve">Gestion des incidents et de crise</w:t>
            </w:r>
          </w:p>
        </w:tc>
        <w:tc>
          <w:tcPr>
            <w:tcW w:w="735" w:type="dxa"/>
            <w:shd w:val="clear" w:color="auto" w:fill="EEF2F6"/>
          </w:tcPr>
          <w:p>
            <w:pPr>
              <w:pStyle w:val="Compact"/>
              <w:spacing w:after="20" w:before="20"/>
              <w:jc w:val="left"/>
            </w:pPr>
            <w:r>
              <w:rPr>
                <w:rStyle w:val="VerbatimChar"/>
                <w:b/>
                <w:color w:val="8A5A00"/>
                <w:sz w:val="18"/>
              </w:rPr>
              <w:t xml:space="preserve">{{…}}</w:t>
            </w:r>
          </w:p>
        </w:tc>
        <w:tc>
          <w:tcPr>
            <w:tcW w:w="1179" w:type="dxa"/>
            <w:shd w:val="clear" w:color="auto" w:fill="EEF2F6"/>
          </w:tcPr>
          <w:p>
            <w:pPr>
              <w:pStyle w:val="Compact"/>
              <w:spacing w:after="20" w:before="20"/>
              <w:jc w:val="left"/>
            </w:pPr>
            <w:r>
              <w:rPr>
                <w:sz w:val="18"/>
              </w:rPr>
              <w:t xml:space="preserve">§7.4, §8.4, §9.5</w:t>
            </w:r>
          </w:p>
        </w:tc>
        <w:tc>
          <w:tcPr>
            <w:tcW w:w="1230" w:type="dxa"/>
            <w:shd w:val="clear" w:color="auto" w:fill="EEF2F6"/>
          </w:tcPr>
          <w:p>
            <w:pPr>
              <w:pStyle w:val="Compact"/>
              <w:spacing w:after="20" w:before="20"/>
              <w:jc w:val="left"/>
            </w:pPr>
            <w:r>
              <w:rPr>
                <w:sz w:val="18"/>
              </w:rPr>
              <w:t xml:space="preserve">8.4</w:t>
            </w:r>
          </w:p>
        </w:tc>
        <w:tc>
          <w:tcPr>
            <w:tcW w:w="1328" w:type="dxa"/>
            <w:shd w:val="clear" w:color="auto" w:fill="EEF2F6"/>
          </w:tcPr>
          <w:p>
            <w:pPr>
              <w:pStyle w:val="Compact"/>
              <w:spacing w:after="20" w:before="20"/>
              <w:jc w:val="left"/>
            </w:pPr>
            <w:r>
              <w:rPr>
                <w:sz w:val="18"/>
              </w:rPr>
              <w:t xml:space="preserve">5.24 à 5.27</w:t>
            </w:r>
          </w:p>
        </w:tc>
        <w:tc>
          <w:tcPr>
            <w:tcW w:w="1131" w:type="dxa"/>
            <w:shd w:val="clear" w:color="auto" w:fill="EEF2F6"/>
          </w:tcPr>
          <w:p>
            <w:pPr>
              <w:pStyle w:val="Compact"/>
              <w:spacing w:after="20" w:before="20"/>
              <w:jc w:val="left"/>
            </w:pPr>
            <w:r>
              <w:rPr>
                <w:sz w:val="18"/>
              </w:rPr>
              <w:t xml:space="preserve">RS.MA</w:t>
            </w:r>
          </w:p>
        </w:tc>
        <w:tc>
          <w:tcPr>
            <w:tcW w:w="1751" w:type="dxa"/>
            <w:shd w:val="clear" w:color="auto" w:fill="EEF2F6"/>
          </w:tcPr>
          <w:p>
            <w:pPr>
              <w:pStyle w:val="Compact"/>
              <w:spacing w:after="20" w:before="20"/>
              <w:jc w:val="left"/>
            </w:pPr>
            <w:r>
              <w:rPr>
                <w:sz w:val="18"/>
              </w:rPr>
              <w:t xml:space="preserve">NIS 2 art. 23 · DORA art. 17 à 19</w:t>
            </w:r>
          </w:p>
        </w:tc>
      </w:tr>
      <w:tr>
        <w:trPr>
          <w:cantSplit w:val="true"/>
        </w:trPr>
        <w:tc>
          <w:tcPr>
            <w:tcW w:w="2056" w:type="dxa"/>
          </w:tcPr>
          <w:p>
            <w:pPr>
              <w:pStyle w:val="Compact"/>
              <w:spacing w:after="20" w:before="20"/>
              <w:jc w:val="left"/>
            </w:pPr>
            <w:r>
              <w:rPr>
                <w:sz w:val="18"/>
              </w:rPr>
              <w:t xml:space="preserve">Relations avec les fournisseurs</w:t>
            </w:r>
          </w:p>
        </w:tc>
        <w:tc>
          <w:tcPr>
            <w:tcW w:w="735" w:type="dxa"/>
          </w:tcPr>
          <w:p>
            <w:pPr>
              <w:pStyle w:val="Compact"/>
              <w:spacing w:after="20" w:before="20"/>
              <w:jc w:val="left"/>
            </w:pPr>
            <w:r>
              <w:rPr>
                <w:rStyle w:val="VerbatimChar"/>
                <w:b/>
                <w:color w:val="8A5A00"/>
                <w:sz w:val="18"/>
              </w:rPr>
              <w:t xml:space="preserve">{{…}}</w:t>
            </w:r>
          </w:p>
        </w:tc>
        <w:tc>
          <w:tcPr>
            <w:tcW w:w="1179" w:type="dxa"/>
          </w:tcPr>
          <w:p>
            <w:pPr>
              <w:pStyle w:val="Compact"/>
              <w:spacing w:after="20" w:before="20"/>
              <w:jc w:val="left"/>
            </w:pPr>
            <w:r>
              <w:rPr>
                <w:sz w:val="18"/>
              </w:rPr>
              <w:t xml:space="preserve">§8.8</w:t>
            </w:r>
          </w:p>
        </w:tc>
        <w:tc>
          <w:tcPr>
            <w:tcW w:w="1230" w:type="dxa"/>
          </w:tcPr>
          <w:p>
            <w:pPr>
              <w:pStyle w:val="Compact"/>
              <w:spacing w:after="20" w:before="20"/>
              <w:jc w:val="left"/>
            </w:pPr>
            <w:r>
              <w:rPr>
                <w:sz w:val="18"/>
              </w:rPr>
              <w:t xml:space="preserve">8.3, 8.6</w:t>
            </w:r>
          </w:p>
        </w:tc>
        <w:tc>
          <w:tcPr>
            <w:tcW w:w="1328" w:type="dxa"/>
          </w:tcPr>
          <w:p>
            <w:pPr>
              <w:pStyle w:val="Compact"/>
              <w:spacing w:after="20" w:before="20"/>
              <w:jc w:val="left"/>
            </w:pPr>
            <w:r>
              <w:rPr>
                <w:sz w:val="18"/>
              </w:rPr>
              <w:t xml:space="preserve">5.19 à 5.22</w:t>
            </w:r>
          </w:p>
        </w:tc>
        <w:tc>
          <w:tcPr>
            <w:tcW w:w="1131" w:type="dxa"/>
          </w:tcPr>
          <w:p>
            <w:pPr>
              <w:pStyle w:val="Compact"/>
              <w:spacing w:after="20" w:before="20"/>
              <w:jc w:val="left"/>
            </w:pPr>
            <w:r>
              <w:rPr>
                <w:sz w:val="18"/>
              </w:rPr>
              <w:t xml:space="preserve">GV.SC</w:t>
            </w:r>
          </w:p>
        </w:tc>
        <w:tc>
          <w:tcPr>
            <w:tcW w:w="1751" w:type="dxa"/>
          </w:tcPr>
          <w:p>
            <w:pPr>
              <w:pStyle w:val="Compact"/>
              <w:spacing w:after="20" w:before="20"/>
              <w:jc w:val="left"/>
            </w:pPr>
            <w:r>
              <w:rPr>
                <w:sz w:val="18"/>
              </w:rPr>
              <w:t xml:space="preserve">DORA art. 28 à 30</w:t>
            </w:r>
          </w:p>
        </w:tc>
      </w:tr>
      <w:tr>
        <w:trPr>
          <w:cantSplit w:val="true"/>
        </w:trPr>
        <w:tc>
          <w:tcPr>
            <w:tcW w:w="2056" w:type="dxa"/>
            <w:shd w:val="clear" w:color="auto" w:fill="EEF2F6"/>
          </w:tcPr>
          <w:p>
            <w:pPr>
              <w:pStyle w:val="Compact"/>
              <w:spacing w:after="20" w:before="20"/>
              <w:jc w:val="left"/>
            </w:pPr>
            <w:r>
              <w:rPr>
                <w:sz w:val="18"/>
              </w:rPr>
              <w:t xml:space="preserve">Protection des sauvegardes (confidentialité)</w:t>
            </w:r>
          </w:p>
        </w:tc>
        <w:tc>
          <w:tcPr>
            <w:tcW w:w="735" w:type="dxa"/>
            <w:shd w:val="clear" w:color="auto" w:fill="EEF2F6"/>
          </w:tcPr>
          <w:p>
            <w:pPr>
              <w:pStyle w:val="Compact"/>
              <w:spacing w:after="20" w:before="20"/>
              <w:jc w:val="left"/>
            </w:pPr>
            <w:r>
              <w:rPr>
                <w:rStyle w:val="VerbatimChar"/>
                <w:b/>
                <w:color w:val="8A5A00"/>
                <w:sz w:val="18"/>
              </w:rPr>
              <w:t xml:space="preserve">{{…}}</w:t>
            </w:r>
          </w:p>
        </w:tc>
        <w:tc>
          <w:tcPr>
            <w:tcW w:w="1179" w:type="dxa"/>
            <w:shd w:val="clear" w:color="auto" w:fill="EEF2F6"/>
          </w:tcPr>
          <w:p>
            <w:pPr>
              <w:pStyle w:val="Compact"/>
              <w:spacing w:after="20" w:before="20"/>
              <w:jc w:val="left"/>
            </w:pPr>
            <w:r>
              <w:rPr>
                <w:sz w:val="18"/>
              </w:rPr>
              <w:t xml:space="preserve">§5.6, §9.3</w:t>
            </w:r>
          </w:p>
        </w:tc>
        <w:tc>
          <w:tcPr>
            <w:tcW w:w="1230" w:type="dxa"/>
            <w:shd w:val="clear" w:color="auto" w:fill="EEF2F6"/>
          </w:tcPr>
          <w:p>
            <w:pPr>
              <w:pStyle w:val="Compact"/>
              <w:spacing w:after="20" w:before="20"/>
              <w:jc w:val="left"/>
            </w:pPr>
            <w:r>
              <w:rPr>
                <w:sz w:val="18"/>
              </w:rPr>
              <w:t xml:space="preserve">—</w:t>
            </w:r>
          </w:p>
        </w:tc>
        <w:tc>
          <w:tcPr>
            <w:tcW w:w="1328" w:type="dxa"/>
            <w:shd w:val="clear" w:color="auto" w:fill="EEF2F6"/>
          </w:tcPr>
          <w:p>
            <w:pPr>
              <w:pStyle w:val="Compact"/>
              <w:spacing w:after="20" w:before="20"/>
              <w:jc w:val="left"/>
            </w:pPr>
            <w:r>
              <w:rPr>
                <w:sz w:val="18"/>
              </w:rPr>
              <w:t xml:space="preserve">8.24, 8.13</w:t>
            </w:r>
          </w:p>
        </w:tc>
        <w:tc>
          <w:tcPr>
            <w:tcW w:w="1131" w:type="dxa"/>
            <w:shd w:val="clear" w:color="auto" w:fill="EEF2F6"/>
          </w:tcPr>
          <w:p>
            <w:pPr>
              <w:pStyle w:val="Compact"/>
              <w:spacing w:after="20" w:before="20"/>
              <w:jc w:val="left"/>
            </w:pPr>
            <w:r>
              <w:rPr>
                <w:sz w:val="18"/>
              </w:rPr>
              <w:t xml:space="preserve">PR.DS-01</w:t>
            </w:r>
          </w:p>
        </w:tc>
        <w:tc>
          <w:tcPr>
            <w:tcW w:w="1751" w:type="dxa"/>
            <w:shd w:val="clear" w:color="auto" w:fill="EEF2F6"/>
          </w:tcPr>
          <w:p>
            <w:pPr>
              <w:pStyle w:val="Compact"/>
              <w:spacing w:after="20" w:before="20"/>
              <w:jc w:val="left"/>
            </w:pPr>
            <w:r>
              <w:rPr>
                <w:sz w:val="18"/>
              </w:rPr>
              <w:t xml:space="preserve">—</w:t>
            </w:r>
          </w:p>
        </w:tc>
      </w:tr>
      <w:tr>
        <w:trPr>
          <w:cantSplit w:val="true"/>
        </w:trPr>
        <w:tc>
          <w:tcPr>
            <w:tcW w:w="2056" w:type="dxa"/>
          </w:tcPr>
          <w:p>
            <w:pPr>
              <w:pStyle w:val="Compact"/>
              <w:spacing w:after="20" w:before="20"/>
              <w:jc w:val="left"/>
            </w:pPr>
            <w:r>
              <w:rPr>
                <w:sz w:val="18"/>
              </w:rPr>
              <w:t xml:space="preserve">Conservation et suppression</w:t>
            </w:r>
          </w:p>
        </w:tc>
        <w:tc>
          <w:tcPr>
            <w:tcW w:w="735" w:type="dxa"/>
          </w:tcPr>
          <w:p>
            <w:pPr>
              <w:pStyle w:val="Compact"/>
              <w:spacing w:after="20" w:before="20"/>
              <w:jc w:val="left"/>
            </w:pPr>
            <w:r>
              <w:rPr>
                <w:rStyle w:val="VerbatimChar"/>
                <w:b/>
                <w:color w:val="8A5A00"/>
                <w:sz w:val="18"/>
              </w:rPr>
              <w:t xml:space="preserve">{{…}}</w:t>
            </w:r>
          </w:p>
        </w:tc>
        <w:tc>
          <w:tcPr>
            <w:tcW w:w="1179" w:type="dxa"/>
          </w:tcPr>
          <w:p>
            <w:pPr>
              <w:pStyle w:val="Compact"/>
              <w:spacing w:after="20" w:before="20"/>
              <w:jc w:val="left"/>
            </w:pPr>
            <w:r>
              <w:rPr>
                <w:sz w:val="18"/>
              </w:rPr>
              <w:t xml:space="preserve">§5.13, §6.2.4</w:t>
            </w:r>
          </w:p>
        </w:tc>
        <w:tc>
          <w:tcPr>
            <w:tcW w:w="1230" w:type="dxa"/>
          </w:tcPr>
          <w:p>
            <w:pPr>
              <w:pStyle w:val="Compact"/>
              <w:spacing w:after="20" w:before="20"/>
              <w:jc w:val="left"/>
            </w:pPr>
            <w:r>
              <w:rPr>
                <w:sz w:val="18"/>
              </w:rPr>
              <w:t xml:space="preserve">—</w:t>
            </w:r>
          </w:p>
        </w:tc>
        <w:tc>
          <w:tcPr>
            <w:tcW w:w="1328" w:type="dxa"/>
          </w:tcPr>
          <w:p>
            <w:pPr>
              <w:pStyle w:val="Compact"/>
              <w:spacing w:after="20" w:before="20"/>
              <w:jc w:val="left"/>
            </w:pPr>
            <w:r>
              <w:rPr>
                <w:sz w:val="18"/>
              </w:rPr>
              <w:t xml:space="preserve">5.33, 8.10</w:t>
            </w:r>
          </w:p>
        </w:tc>
        <w:tc>
          <w:tcPr>
            <w:tcW w:w="1131" w:type="dxa"/>
          </w:tcPr>
          <w:p>
            <w:pPr>
              <w:pStyle w:val="Compact"/>
              <w:spacing w:after="20" w:before="20"/>
              <w:jc w:val="left"/>
            </w:pPr>
            <w:r>
              <w:rPr>
                <w:sz w:val="18"/>
              </w:rPr>
              <w:t xml:space="preserve">—</w:t>
            </w:r>
          </w:p>
        </w:tc>
        <w:tc>
          <w:tcPr>
            <w:tcW w:w="1751" w:type="dxa"/>
          </w:tcPr>
          <w:p>
            <w:pPr>
              <w:pStyle w:val="Compact"/>
              <w:spacing w:after="20" w:before="20"/>
              <w:jc w:val="left"/>
            </w:pPr>
            <w:r>
              <w:rPr>
                <w:sz w:val="18"/>
              </w:rPr>
              <w:t xml:space="preserve">RGPD art. 5 §1 e)</w:t>
            </w:r>
          </w:p>
        </w:tc>
      </w:tr>
      <w:tr>
        <w:trPr>
          <w:cantSplit w:val="true"/>
        </w:trPr>
        <w:tc>
          <w:tcPr>
            <w:tcW w:w="2056" w:type="dxa"/>
            <w:shd w:val="clear" w:color="auto" w:fill="EEF2F6"/>
          </w:tcPr>
          <w:p>
            <w:pPr>
              <w:pStyle w:val="Compact"/>
              <w:spacing w:after="20" w:before="20"/>
              <w:jc w:val="left"/>
            </w:pPr>
            <w:r>
              <w:rPr>
                <w:sz w:val="18"/>
              </w:rPr>
              <w:t xml:space="preserve">Disponibilité de la documentation</w:t>
            </w:r>
          </w:p>
        </w:tc>
        <w:tc>
          <w:tcPr>
            <w:tcW w:w="735" w:type="dxa"/>
            <w:shd w:val="clear" w:color="auto" w:fill="EEF2F6"/>
          </w:tcPr>
          <w:p>
            <w:pPr>
              <w:pStyle w:val="Compact"/>
              <w:spacing w:after="20" w:before="20"/>
              <w:jc w:val="left"/>
            </w:pPr>
            <w:r>
              <w:rPr>
                <w:rStyle w:val="VerbatimChar"/>
                <w:b/>
                <w:color w:val="8A5A00"/>
                <w:sz w:val="18"/>
              </w:rPr>
              <w:t xml:space="preserve">{{…}}</w:t>
            </w:r>
          </w:p>
        </w:tc>
        <w:tc>
          <w:tcPr>
            <w:tcW w:w="1179" w:type="dxa"/>
            <w:shd w:val="clear" w:color="auto" w:fill="EEF2F6"/>
          </w:tcPr>
          <w:p>
            <w:pPr>
              <w:pStyle w:val="Compact"/>
              <w:spacing w:after="20" w:before="20"/>
              <w:jc w:val="left"/>
            </w:pPr>
            <w:r>
              <w:rPr>
                <w:sz w:val="18"/>
              </w:rPr>
              <w:t xml:space="preserve">§7.6</w:t>
            </w:r>
          </w:p>
        </w:tc>
        <w:tc>
          <w:tcPr>
            <w:tcW w:w="1230" w:type="dxa"/>
            <w:shd w:val="clear" w:color="auto" w:fill="EEF2F6"/>
          </w:tcPr>
          <w:p>
            <w:pPr>
              <w:pStyle w:val="Compact"/>
              <w:spacing w:after="20" w:before="20"/>
              <w:jc w:val="left"/>
            </w:pPr>
            <w:r>
              <w:rPr>
                <w:sz w:val="18"/>
              </w:rPr>
              <w:t xml:space="preserve">7.5</w:t>
            </w:r>
          </w:p>
        </w:tc>
        <w:tc>
          <w:tcPr>
            <w:tcW w:w="1328" w:type="dxa"/>
            <w:shd w:val="clear" w:color="auto" w:fill="EEF2F6"/>
          </w:tcPr>
          <w:p>
            <w:pPr>
              <w:pStyle w:val="Compact"/>
              <w:spacing w:after="20" w:before="20"/>
              <w:jc w:val="left"/>
            </w:pPr>
            <w:r>
              <w:rPr>
                <w:sz w:val="18"/>
              </w:rPr>
              <w:t xml:space="preserve">5.37</w:t>
            </w:r>
          </w:p>
        </w:tc>
        <w:tc>
          <w:tcPr>
            <w:tcW w:w="1131" w:type="dxa"/>
            <w:shd w:val="clear" w:color="auto" w:fill="EEF2F6"/>
          </w:tcPr>
          <w:p>
            <w:pPr>
              <w:pStyle w:val="Compact"/>
              <w:spacing w:after="20" w:before="20"/>
              <w:jc w:val="left"/>
            </w:pPr>
            <w:r>
              <w:rPr>
                <w:sz w:val="18"/>
              </w:rPr>
              <w:t xml:space="preserve">—</w:t>
            </w:r>
          </w:p>
        </w:tc>
        <w:tc>
          <w:tcPr>
            <w:tcW w:w="1751" w:type="dxa"/>
            <w:shd w:val="clear" w:color="auto" w:fill="EEF2F6"/>
          </w:tcPr>
          <w:p>
            <w:pPr>
              <w:pStyle w:val="Compact"/>
              <w:spacing w:after="20" w:before="20"/>
              <w:jc w:val="left"/>
            </w:pPr>
            <w:r>
              <w:rPr>
                <w:sz w:val="18"/>
              </w:rPr>
              <w:t xml:space="preserve">—</w:t>
            </w:r>
          </w:p>
        </w:tc>
      </w:tr>
      <w:tr>
        <w:trPr>
          <w:cantSplit w:val="true"/>
        </w:trPr>
        <w:tc>
          <w:tcPr>
            <w:tcW w:w="2056" w:type="dxa"/>
          </w:tcPr>
          <w:p>
            <w:pPr>
              <w:pStyle w:val="Compact"/>
              <w:spacing w:after="20" w:before="20"/>
              <w:jc w:val="left"/>
            </w:pPr>
            <w:r>
              <w:rPr>
                <w:sz w:val="18"/>
              </w:rPr>
              <w:t xml:space="preserve">Surveillance, audit et revue de direction</w:t>
            </w:r>
          </w:p>
        </w:tc>
        <w:tc>
          <w:tcPr>
            <w:tcW w:w="735" w:type="dxa"/>
          </w:tcPr>
          <w:p>
            <w:pPr>
              <w:pStyle w:val="Compact"/>
              <w:spacing w:after="20" w:before="20"/>
              <w:jc w:val="left"/>
            </w:pPr>
            <w:r>
              <w:rPr>
                <w:rStyle w:val="VerbatimChar"/>
                <w:b/>
                <w:color w:val="8A5A00"/>
                <w:sz w:val="18"/>
              </w:rPr>
              <w:t xml:space="preserve">{{…}}</w:t>
            </w:r>
          </w:p>
        </w:tc>
        <w:tc>
          <w:tcPr>
            <w:tcW w:w="1179" w:type="dxa"/>
          </w:tcPr>
          <w:p>
            <w:pPr>
              <w:pStyle w:val="Compact"/>
              <w:spacing w:after="20" w:before="20"/>
              <w:jc w:val="left"/>
            </w:pPr>
            <w:r>
              <w:rPr>
                <w:sz w:val="18"/>
              </w:rPr>
              <w:t xml:space="preserve">§7.5, §11</w:t>
            </w:r>
          </w:p>
        </w:tc>
        <w:tc>
          <w:tcPr>
            <w:tcW w:w="1230" w:type="dxa"/>
          </w:tcPr>
          <w:p>
            <w:pPr>
              <w:pStyle w:val="Compact"/>
              <w:spacing w:after="20" w:before="20"/>
              <w:jc w:val="left"/>
            </w:pPr>
            <w:r>
              <w:rPr>
                <w:sz w:val="18"/>
              </w:rPr>
              <w:t xml:space="preserve">9.1 à 9.3</w:t>
            </w:r>
          </w:p>
        </w:tc>
        <w:tc>
          <w:tcPr>
            <w:tcW w:w="1328" w:type="dxa"/>
          </w:tcPr>
          <w:p>
            <w:pPr>
              <w:pStyle w:val="Compact"/>
              <w:spacing w:after="20" w:before="20"/>
              <w:jc w:val="left"/>
            </w:pPr>
            <w:r>
              <w:rPr>
                <w:sz w:val="18"/>
              </w:rPr>
              <w:t xml:space="preserve">5.35, 5.36</w:t>
            </w:r>
          </w:p>
        </w:tc>
        <w:tc>
          <w:tcPr>
            <w:tcW w:w="1131" w:type="dxa"/>
          </w:tcPr>
          <w:p>
            <w:pPr>
              <w:pStyle w:val="Compact"/>
              <w:spacing w:after="20" w:before="20"/>
              <w:jc w:val="left"/>
            </w:pPr>
            <w:r>
              <w:rPr>
                <w:sz w:val="18"/>
              </w:rPr>
              <w:t xml:space="preserve">GV.OV, ID.IM</w:t>
            </w:r>
          </w:p>
        </w:tc>
        <w:tc>
          <w:tcPr>
            <w:tcW w:w="1751" w:type="dxa"/>
          </w:tcPr>
          <w:p>
            <w:pPr>
              <w:pStyle w:val="Compact"/>
              <w:spacing w:after="20" w:before="20"/>
              <w:jc w:val="left"/>
            </w:pPr>
            <w:r>
              <w:rPr>
                <w:sz w:val="18"/>
              </w:rPr>
              <w:t xml:space="preserve">—</w:t>
            </w:r>
          </w:p>
        </w:tc>
      </w:tr>
    </w:tbl>
    <w:p>
      <w:pPr>
        <w:pStyle w:val="BodyText"/>
      </w:pPr>
      <w:r>
        <w:t xml:space="preserve">⚠ Les numéros de clauses d'ISO 22301 renvoient à l'édition 2019, en cours de révision : à vérifier contre l'édition en vigueur lors de l'adaptation. La colonne ISO 22301 est utile même sans système de management de la continuité certifié ; elle montre où la stratégie s'insère dans la démarche de continuité.</w:t>
      </w:r>
    </w:p>
    <w:bookmarkEnd w:id="32"/>
    <w:bookmarkEnd w:id="33"/>
    <w:bookmarkStart w:id="54" w:name="définitions-concepts-et-notions"/>
    <w:p>
      <w:pPr>
        <w:pStyle w:val="Heading1"/>
      </w:pPr>
      <w:r>
        <w:t xml:space="preserve">5. Définitions, concepts et notions</w:t>
      </w:r>
    </w:p>
    <w:p>
      <w:pPr>
        <w:pStyle w:val="BlockText"/>
      </w:pPr>
      <w:r>
        <w:rPr>
          <w:bCs/>
          <w:b/>
        </w:rPr>
        <w:t xml:space="preserve">L'ensemble des définitions, concepts et notions</w:t>
      </w:r>
      <w:r>
        <w:t xml:space="preserve"> </w:t>
      </w:r>
      <w:r>
        <w:t xml:space="preserve">exposés ci-dessous</w:t>
      </w:r>
      <w:r>
        <w:t xml:space="preserve"> </w:t>
      </w:r>
      <w:r>
        <w:rPr>
          <w:bCs/>
          <w:b/>
        </w:rPr>
        <w:t xml:space="preserve">est nécessaire</w:t>
      </w:r>
      <w:r>
        <w:t xml:space="preserve"> </w:t>
      </w:r>
      <w:r>
        <w:t xml:space="preserve">à l'établissement de la stratégie et requiert</w:t>
      </w:r>
      <w:r>
        <w:t xml:space="preserve"> </w:t>
      </w:r>
      <w:r>
        <w:rPr>
          <w:bCs/>
          <w:b/>
        </w:rPr>
        <w:t xml:space="preserve">une acceptation commune</w:t>
      </w:r>
      <w:r>
        <w:t xml:space="preserve"> </w:t>
      </w:r>
      <w:r>
        <w:t xml:space="preserve">de tous les intervenants participant à</w:t>
      </w:r>
      <w:r>
        <w:t xml:space="preserve"> </w:t>
      </w:r>
      <w:r>
        <w:rPr>
          <w:bCs/>
          <w:b/>
        </w:rPr>
        <w:t xml:space="preserve">sa mise en œuvre</w:t>
      </w:r>
      <w:r>
        <w:t xml:space="preserve">.</w:t>
      </w:r>
    </w:p>
    <w:bookmarkStart w:id="34" w:name="classification-des-types-de-données"/>
    <w:p>
      <w:pPr>
        <w:pStyle w:val="Heading2"/>
      </w:pPr>
      <w:r>
        <w:t xml:space="preserve">5.1 Classification des types de données</w:t>
      </w:r>
    </w:p>
    <w:p>
      <w:pPr>
        <w:pStyle w:val="FirstParagraph"/>
      </w:pPr>
      <w:r>
        <w:t xml:space="preserve">Cette classification :</w:t>
      </w:r>
    </w:p>
    <w:p>
      <w:pPr>
        <w:numPr>
          <w:ilvl w:val="0"/>
          <w:numId w:val="1007"/>
        </w:numPr>
        <w:pStyle w:val="Compact"/>
      </w:pPr>
      <w:r>
        <w:t xml:space="preserve">est cohérente avec la cinématique de sauvegarde / restauration décrite en Annexe A ;</w:t>
      </w:r>
    </w:p>
    <w:p>
      <w:pPr>
        <w:numPr>
          <w:ilvl w:val="0"/>
          <w:numId w:val="1007"/>
        </w:numPr>
        <w:pStyle w:val="Compact"/>
      </w:pPr>
      <w:r>
        <w:t xml:space="preserve">ne doit pas être confondue avec la classification DICP des données (§5.3) ;</w:t>
      </w:r>
    </w:p>
    <w:p>
      <w:pPr>
        <w:numPr>
          <w:ilvl w:val="0"/>
          <w:numId w:val="1007"/>
        </w:numPr>
        <w:pStyle w:val="Compact"/>
      </w:pPr>
      <w:r>
        <w:t xml:space="preserve">sert à ajuster le niveau de sécurisation à appliquer aux données.</w:t>
      </w:r>
    </w:p>
    <w:p>
      <w:pPr>
        <w:pStyle w:val="FirstParagraph"/>
      </w:pPr>
      <w:r>
        <w:t xml:space="preserve">Elle s'appuie sur trois axes :</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815"/>
        <w:gridCol w:w="1230"/>
        <w:gridCol w:w="6366"/>
      </w:tblGrid>
      <w:tr>
        <w:trPr>
          <w:tblHeader w:val="true"/>
          <w:tblHeader w:val="true"/>
          <w:cantSplit w:val="true"/>
        </w:trPr>
        <w:tc>
          <w:tcPr>
            <w:tcW w:w="1815" w:type="dxa"/>
            <w:shd w:val="clear" w:color="auto" w:fill="1F3A5F"/>
          </w:tcPr>
          <w:p>
            <w:pPr>
              <w:pStyle w:val="Compact"/>
              <w:spacing w:after="20" w:before="20"/>
              <w:jc w:val="left"/>
            </w:pPr>
            <w:r>
              <w:rPr>
                <w:b/>
                <w:color w:val="FFFFFF"/>
                <w:sz w:val="18"/>
              </w:rPr>
              <w:t xml:space="preserve">Axe</w:t>
            </w:r>
          </w:p>
        </w:tc>
        <w:tc>
          <w:tcPr>
            <w:tcW w:w="1230" w:type="dxa"/>
            <w:shd w:val="clear" w:color="auto" w:fill="1F3A5F"/>
          </w:tcPr>
          <w:p>
            <w:pPr>
              <w:pStyle w:val="Compact"/>
              <w:spacing w:after="20" w:before="20"/>
              <w:jc w:val="left"/>
            </w:pPr>
            <w:r>
              <w:rPr>
                <w:b/>
                <w:color w:val="FFFFFF"/>
                <w:sz w:val="18"/>
              </w:rPr>
              <w:t xml:space="preserve">Valeur</w:t>
            </w:r>
          </w:p>
        </w:tc>
        <w:tc>
          <w:tcPr>
            <w:tcW w:w="6366" w:type="dxa"/>
            <w:shd w:val="clear" w:color="auto" w:fill="1F3A5F"/>
          </w:tcPr>
          <w:p>
            <w:pPr>
              <w:pStyle w:val="Compact"/>
              <w:spacing w:after="20" w:before="20"/>
              <w:jc w:val="left"/>
            </w:pPr>
            <w:r>
              <w:rPr>
                <w:b/>
                <w:color w:val="FFFFFF"/>
                <w:sz w:val="18"/>
              </w:rPr>
              <w:t xml:space="preserve">Définition</w:t>
            </w:r>
          </w:p>
        </w:tc>
      </w:tr>
      <w:tr>
        <w:trPr>
          <w:cantSplit w:val="true"/>
        </w:trPr>
        <w:tc>
          <w:tcPr>
            <w:tcW w:w="1815" w:type="dxa"/>
          </w:tcPr>
          <w:p>
            <w:pPr>
              <w:pStyle w:val="Compact"/>
              <w:spacing w:after="20" w:before="20"/>
              <w:jc w:val="left"/>
            </w:pPr>
            <w:r>
              <w:rPr>
                <w:bCs/>
                <w:b/>
                <w:sz w:val="18"/>
              </w:rPr>
              <w:t xml:space="preserve">Niveau de support</w:t>
            </w:r>
          </w:p>
        </w:tc>
        <w:tc>
          <w:tcPr>
            <w:tcW w:w="1230" w:type="dxa"/>
          </w:tcPr>
          <w:p>
            <w:pPr>
              <w:pStyle w:val="Compact"/>
              <w:spacing w:after="20" w:before="20"/>
              <w:jc w:val="left"/>
            </w:pPr>
            <w:r>
              <w:rPr>
                <w:sz w:val="18"/>
              </w:rPr>
              <w:t xml:space="preserve">Primaire</w:t>
            </w:r>
          </w:p>
        </w:tc>
        <w:tc>
          <w:tcPr>
            <w:tcW w:w="6366" w:type="dxa"/>
          </w:tcPr>
          <w:p>
            <w:pPr>
              <w:pStyle w:val="Compact"/>
              <w:spacing w:after="20" w:before="20"/>
              <w:jc w:val="left"/>
            </w:pPr>
            <w:r>
              <w:rPr>
                <w:sz w:val="18"/>
              </w:rPr>
              <w:t xml:space="preserve">Support où réside la donnée elle-même, et non une copie. Généralement des disques, parfois des bandes.</w:t>
            </w:r>
          </w:p>
        </w:tc>
      </w:tr>
      <w:tr>
        <w:trPr>
          <w:cantSplit w:val="true"/>
        </w:trPr>
        <w:tc>
          <w:tcPr>
            <w:tcW w:w="1815" w:type="dxa"/>
            <w:shd w:val="clear" w:color="auto" w:fill="EEF2F6"/>
          </w:tcPr>
          <w:p>
            <w:pPr>
              <w:pStyle w:val="Compact"/>
              <w:spacing w:after="20" w:before="20"/>
            </w:pPr>
          </w:p>
        </w:tc>
        <w:tc>
          <w:tcPr>
            <w:tcW w:w="1230" w:type="dxa"/>
            <w:shd w:val="clear" w:color="auto" w:fill="EEF2F6"/>
          </w:tcPr>
          <w:p>
            <w:pPr>
              <w:pStyle w:val="Compact"/>
              <w:spacing w:after="20" w:before="20"/>
              <w:jc w:val="left"/>
            </w:pPr>
            <w:r>
              <w:rPr>
                <w:sz w:val="18"/>
              </w:rPr>
              <w:t xml:space="preserve">Secondaire</w:t>
            </w:r>
          </w:p>
        </w:tc>
        <w:tc>
          <w:tcPr>
            <w:tcW w:w="6366" w:type="dxa"/>
            <w:shd w:val="clear" w:color="auto" w:fill="EEF2F6"/>
          </w:tcPr>
          <w:p>
            <w:pPr>
              <w:pStyle w:val="Compact"/>
              <w:spacing w:after="20" w:before="20"/>
              <w:jc w:val="left"/>
            </w:pPr>
            <w:r>
              <w:rPr>
                <w:sz w:val="18"/>
              </w:rPr>
              <w:t xml:space="preserve">Support portant une copie ou une image de la donnée à un instant</w:t>
            </w:r>
            <w:r>
              <w:rPr>
                <w:sz w:val="18"/>
              </w:rPr>
              <w:t xml:space="preserve"> </w:t>
            </w:r>
            <w:r>
              <w:rPr>
                <w:iCs/>
                <w:i/>
                <w:sz w:val="18"/>
              </w:rPr>
              <w:t xml:space="preserve">t</w:t>
            </w:r>
            <w:r>
              <w:rPr>
                <w:sz w:val="18"/>
              </w:rPr>
              <w:t xml:space="preserve">. Tout type de support est possible (disque, bande, stockage objet…).</w:t>
            </w:r>
          </w:p>
        </w:tc>
      </w:tr>
      <w:tr>
        <w:trPr>
          <w:cantSplit w:val="true"/>
        </w:trPr>
        <w:tc>
          <w:tcPr>
            <w:tcW w:w="1815" w:type="dxa"/>
          </w:tcPr>
          <w:p>
            <w:pPr>
              <w:pStyle w:val="Compact"/>
              <w:spacing w:after="20" w:before="20"/>
              <w:jc w:val="left"/>
            </w:pPr>
            <w:r>
              <w:rPr>
                <w:bCs/>
                <w:b/>
                <w:sz w:val="18"/>
              </w:rPr>
              <w:t xml:space="preserve">Accessibilité</w:t>
            </w:r>
          </w:p>
        </w:tc>
        <w:tc>
          <w:tcPr>
            <w:tcW w:w="1230" w:type="dxa"/>
          </w:tcPr>
          <w:p>
            <w:pPr>
              <w:pStyle w:val="Compact"/>
              <w:spacing w:after="20" w:before="20"/>
              <w:jc w:val="left"/>
            </w:pPr>
            <w:r>
              <w:rPr>
                <w:sz w:val="18"/>
              </w:rPr>
              <w:t xml:space="preserve">En ligne</w:t>
            </w:r>
          </w:p>
        </w:tc>
        <w:tc>
          <w:tcPr>
            <w:tcW w:w="6366" w:type="dxa"/>
          </w:tcPr>
          <w:p>
            <w:pPr>
              <w:pStyle w:val="Compact"/>
              <w:spacing w:after="20" w:before="20"/>
              <w:jc w:val="left"/>
            </w:pPr>
            <w:r>
              <w:rPr>
                <w:sz w:val="18"/>
              </w:rPr>
              <w:t xml:space="preserve">La donnée est lisible ou modifiable sans intervention sur le support.</w:t>
            </w:r>
          </w:p>
        </w:tc>
      </w:tr>
      <w:tr>
        <w:trPr>
          <w:cantSplit w:val="true"/>
        </w:trPr>
        <w:tc>
          <w:tcPr>
            <w:tcW w:w="1815" w:type="dxa"/>
            <w:shd w:val="clear" w:color="auto" w:fill="EEF2F6"/>
          </w:tcPr>
          <w:p>
            <w:pPr>
              <w:pStyle w:val="Compact"/>
              <w:spacing w:after="20" w:before="20"/>
            </w:pPr>
          </w:p>
        </w:tc>
        <w:tc>
          <w:tcPr>
            <w:tcW w:w="1230" w:type="dxa"/>
            <w:shd w:val="clear" w:color="auto" w:fill="EEF2F6"/>
          </w:tcPr>
          <w:p>
            <w:pPr>
              <w:pStyle w:val="Compact"/>
              <w:spacing w:after="20" w:before="20"/>
              <w:jc w:val="left"/>
            </w:pPr>
            <w:r>
              <w:rPr>
                <w:sz w:val="18"/>
              </w:rPr>
              <w:t xml:space="preserve">Hors ligne</w:t>
            </w:r>
          </w:p>
        </w:tc>
        <w:tc>
          <w:tcPr>
            <w:tcW w:w="6366" w:type="dxa"/>
            <w:shd w:val="clear" w:color="auto" w:fill="EEF2F6"/>
          </w:tcPr>
          <w:p>
            <w:pPr>
              <w:pStyle w:val="Compact"/>
              <w:spacing w:after="20" w:before="20"/>
              <w:jc w:val="left"/>
            </w:pPr>
            <w:r>
              <w:rPr>
                <w:sz w:val="18"/>
              </w:rPr>
              <w:t xml:space="preserve">Une intervention est nécessaire pour lire la donnée (récupération de cartouches, montage de disques…).</w:t>
            </w:r>
          </w:p>
        </w:tc>
      </w:tr>
      <w:tr>
        <w:trPr>
          <w:cantSplit w:val="true"/>
        </w:trPr>
        <w:tc>
          <w:tcPr>
            <w:tcW w:w="1815" w:type="dxa"/>
          </w:tcPr>
          <w:p>
            <w:pPr>
              <w:pStyle w:val="Compact"/>
              <w:spacing w:after="20" w:before="20"/>
              <w:jc w:val="left"/>
            </w:pPr>
            <w:r>
              <w:rPr>
                <w:bCs/>
                <w:b/>
                <w:sz w:val="18"/>
              </w:rPr>
              <w:t xml:space="preserve">Évolutivité</w:t>
            </w:r>
          </w:p>
        </w:tc>
        <w:tc>
          <w:tcPr>
            <w:tcW w:w="1230" w:type="dxa"/>
          </w:tcPr>
          <w:p>
            <w:pPr>
              <w:pStyle w:val="Compact"/>
              <w:spacing w:after="20" w:before="20"/>
              <w:jc w:val="left"/>
            </w:pPr>
            <w:r>
              <w:rPr>
                <w:sz w:val="18"/>
              </w:rPr>
              <w:t xml:space="preserve">Évolutive</w:t>
            </w:r>
          </w:p>
        </w:tc>
        <w:tc>
          <w:tcPr>
            <w:tcW w:w="6366" w:type="dxa"/>
          </w:tcPr>
          <w:p>
            <w:pPr>
              <w:pStyle w:val="Compact"/>
              <w:spacing w:after="20" w:before="20"/>
              <w:jc w:val="left"/>
            </w:pPr>
            <w:r>
              <w:rPr>
                <w:sz w:val="18"/>
              </w:rPr>
              <w:t xml:space="preserve">La donnée peut être modifiée après sa création.</w:t>
            </w:r>
          </w:p>
        </w:tc>
      </w:tr>
      <w:tr>
        <w:trPr>
          <w:cantSplit w:val="true"/>
        </w:trPr>
        <w:tc>
          <w:tcPr>
            <w:tcW w:w="1815" w:type="dxa"/>
            <w:shd w:val="clear" w:color="auto" w:fill="EEF2F6"/>
          </w:tcPr>
          <w:p>
            <w:pPr>
              <w:pStyle w:val="Compact"/>
              <w:spacing w:after="20" w:before="20"/>
            </w:pPr>
          </w:p>
        </w:tc>
        <w:tc>
          <w:tcPr>
            <w:tcW w:w="1230" w:type="dxa"/>
            <w:shd w:val="clear" w:color="auto" w:fill="EEF2F6"/>
          </w:tcPr>
          <w:p>
            <w:pPr>
              <w:pStyle w:val="Compact"/>
              <w:spacing w:after="20" w:before="20"/>
              <w:jc w:val="left"/>
            </w:pPr>
            <w:r>
              <w:rPr>
                <w:sz w:val="18"/>
              </w:rPr>
              <w:t xml:space="preserve">Stable</w:t>
            </w:r>
          </w:p>
        </w:tc>
        <w:tc>
          <w:tcPr>
            <w:tcW w:w="6366" w:type="dxa"/>
            <w:shd w:val="clear" w:color="auto" w:fill="EEF2F6"/>
          </w:tcPr>
          <w:p>
            <w:pPr>
              <w:pStyle w:val="Compact"/>
              <w:spacing w:after="20" w:before="20"/>
              <w:jc w:val="left"/>
            </w:pPr>
            <w:r>
              <w:rPr>
                <w:sz w:val="18"/>
              </w:rPr>
              <w:t xml:space="preserve">La donnée est figée.</w:t>
            </w:r>
          </w:p>
        </w:tc>
      </w:tr>
    </w:tbl>
    <w:p>
      <w:pPr>
        <w:pStyle w:val="BodyText"/>
      </w:pPr>
      <w:r>
        <w:t xml:space="preserve">Ces axes permettent de distinguer deux grandes familles.</w:t>
      </w:r>
    </w:p>
    <w:p>
      <w:pPr>
        <w:pStyle w:val="BodyText"/>
      </w:pPr>
      <w:r>
        <w:rPr>
          <w:bCs/>
          <w:b/>
        </w:rPr>
        <w:t xml:space="preserve">Données vivantes</w:t>
      </w:r>
      <w:r>
        <w:t xml:space="preserve"> </w:t>
      </w:r>
      <w:r>
        <w:t xml:space="preserve">— stockées sur des supports primaires :</w:t>
      </w:r>
    </w:p>
    <w:p>
      <w:pPr>
        <w:numPr>
          <w:ilvl w:val="0"/>
          <w:numId w:val="1008"/>
        </w:numPr>
        <w:pStyle w:val="Compact"/>
      </w:pPr>
      <w:r>
        <w:rPr>
          <w:bCs/>
          <w:b/>
        </w:rPr>
        <w:t xml:space="preserve">Actives</w:t>
      </w:r>
      <w:r>
        <w:t xml:space="preserve"> </w:t>
      </w:r>
      <w:r>
        <w:t xml:space="preserve">: leur valeur évolue ou peut évoluer. Leur sécurisation exige des sauvegardes régulières dont la fréquence répond au besoin métier.</w:t>
      </w:r>
    </w:p>
    <w:p>
      <w:pPr>
        <w:numPr>
          <w:ilvl w:val="0"/>
          <w:numId w:val="1008"/>
        </w:numPr>
        <w:pStyle w:val="Compact"/>
      </w:pPr>
      <w:r>
        <w:rPr>
          <w:bCs/>
          <w:b/>
        </w:rPr>
        <w:t xml:space="preserve">Historiques</w:t>
      </w:r>
      <w:r>
        <w:t xml:space="preserve"> </w:t>
      </w:r>
      <w:r>
        <w:t xml:space="preserve">: leur valeur n'évolue plus. Elles peuvent représenter une part importante du stockage primaire. Une sauvegarde unique suffit à les sécuriser ; les identifier permet de</w:t>
      </w:r>
      <w:r>
        <w:t xml:space="preserve"> </w:t>
      </w:r>
      <w:r>
        <w:rPr>
          <w:bCs/>
          <w:b/>
        </w:rPr>
        <w:t xml:space="preserve">réduire fortement le volume à sauvegarder régulièrement</w:t>
      </w:r>
      <w:r>
        <w:t xml:space="preserve">.</w:t>
      </w:r>
    </w:p>
    <w:p>
      <w:pPr>
        <w:numPr>
          <w:ilvl w:val="0"/>
          <w:numId w:val="1008"/>
        </w:numPr>
        <w:pStyle w:val="Compact"/>
      </w:pPr>
      <w:r>
        <w:rPr>
          <w:bCs/>
          <w:b/>
        </w:rPr>
        <w:t xml:space="preserve">Archivées</w:t>
      </w:r>
      <w:r>
        <w:t xml:space="preserve"> </w:t>
      </w:r>
      <w:r>
        <w:t xml:space="preserve">: extraites des supports primaires pour des raisons légales, fiscales ou juridiques. Leur stockage est distinct et isolé des autres données vivantes. Leur inaltérabilité et leur lisibilité doivent être garanties pendant toute la durée de conservation. Les supports d'archive sont consultables, non réinscriptibles.</w:t>
      </w:r>
      <w:r>
        <w:t xml:space="preserve"> </w:t>
      </w:r>
      <w:r>
        <w:rPr>
          <w:bCs/>
          <w:b/>
        </w:rPr>
        <w:t xml:space="preserve">La PDMA de ces données est égale à 0.</w:t>
      </w:r>
      <w:r>
        <w:t xml:space="preserve"> </w:t>
      </w:r>
      <w:r>
        <w:t xml:space="preserve">Elles ne figurent plus sur les supports primaires d'origine.</w:t>
      </w:r>
    </w:p>
    <w:p>
      <w:pPr>
        <w:numPr>
          <w:ilvl w:val="1"/>
          <w:numId w:val="1009"/>
        </w:numPr>
        <w:pStyle w:val="Compact"/>
      </w:pPr>
      <w:r>
        <w:t xml:space="preserve">⚠ Une donnée stockée parmi des données actives ou historiques accessibles depuis une application</w:t>
      </w:r>
      <w:r>
        <w:t xml:space="preserve"> </w:t>
      </w:r>
      <w:r>
        <w:rPr>
          <w:bCs/>
          <w:b/>
        </w:rPr>
        <w:t xml:space="preserve">n'est pas archivée</w:t>
      </w:r>
      <w:r>
        <w:t xml:space="preserve">, en raison du risque d'effacement ou de modification.</w:t>
      </w:r>
    </w:p>
    <w:p>
      <w:pPr>
        <w:numPr>
          <w:ilvl w:val="1"/>
          <w:numId w:val="1009"/>
        </w:numPr>
        <w:pStyle w:val="Compact"/>
      </w:pPr>
      <w:r>
        <w:t xml:space="preserve">L'accès à une donnée archivée passe par une demande contrôlée de « mise à disposition » et par une procédure de gestion de son obsolescence encadrant sa suppression.</w:t>
      </w:r>
    </w:p>
    <w:p>
      <w:pPr>
        <w:pStyle w:val="FirstParagraph"/>
      </w:pPr>
      <w:r>
        <w:rPr>
          <w:bCs/>
          <w:b/>
        </w:rPr>
        <w:t xml:space="preserve">Données mortes</w:t>
      </w:r>
      <w:r>
        <w:t xml:space="preserve"> </w:t>
      </w:r>
      <w:r>
        <w:t xml:space="preserve">— sauvegardes des données vivantes, stockées sur des supports secondaires :</w:t>
      </w:r>
    </w:p>
    <w:p>
      <w:pPr>
        <w:numPr>
          <w:ilvl w:val="0"/>
          <w:numId w:val="1010"/>
        </w:numPr>
        <w:pStyle w:val="Compact"/>
      </w:pPr>
      <w:r>
        <w:rPr>
          <w:bCs/>
          <w:b/>
        </w:rPr>
        <w:t xml:space="preserve">Synchrones</w:t>
      </w:r>
      <w:r>
        <w:t xml:space="preserve"> </w:t>
      </w:r>
      <w:r>
        <w:t xml:space="preserve">: images évoluant en phase avec les données vivantes. Elles permettent une remise à disposition en cas de perte du support primaire. ⚠ Elles répliquent aussi les corruptions et les chiffrements malveillants : elles ne protègent pas contre une indisponibilité logique.</w:t>
      </w:r>
    </w:p>
    <w:p>
      <w:pPr>
        <w:numPr>
          <w:ilvl w:val="0"/>
          <w:numId w:val="1010"/>
        </w:numPr>
        <w:pStyle w:val="Compact"/>
      </w:pPr>
      <w:r>
        <w:rPr>
          <w:bCs/>
          <w:b/>
        </w:rPr>
        <w:t xml:space="preserve">Asynchrones</w:t>
      </w:r>
      <w:r>
        <w:t xml:space="preserve"> </w:t>
      </w:r>
      <w:r>
        <w:t xml:space="preserve">: copies figées à un instant</w:t>
      </w:r>
      <w:r>
        <w:t xml:space="preserve"> </w:t>
      </w:r>
      <w:r>
        <w:rPr>
          <w:iCs/>
          <w:i/>
        </w:rPr>
        <w:t xml:space="preserve">t</w:t>
      </w:r>
      <w:r>
        <w:t xml:space="preserve">. Elles permettent de revenir à un état antérieur pour annuler les effets d'un incident technique ou d'un dysfonctionnement applicatif.</w:t>
      </w:r>
    </w:p>
    <w:p>
      <w:pPr>
        <w:numPr>
          <w:ilvl w:val="0"/>
          <w:numId w:val="1010"/>
        </w:numPr>
        <w:pStyle w:val="Compact"/>
      </w:pPr>
      <w:r>
        <w:rPr>
          <w:bCs/>
          <w:b/>
        </w:rPr>
        <w:t xml:space="preserve">Isolées</w:t>
      </w:r>
      <w:r>
        <w:t xml:space="preserve"> </w:t>
      </w:r>
      <w:r>
        <w:t xml:space="preserve">: copies de sauvegardes (« sauvegarde de la sauvegarde ») et sauvegardes des archives,</w:t>
      </w:r>
      <w:r>
        <w:t xml:space="preserve"> </w:t>
      </w:r>
      <w:r>
        <w:rPr>
          <w:bCs/>
          <w:b/>
        </w:rPr>
        <w:t xml:space="preserve">logiquement et/ou physiquement isolées et non modifiables</w:t>
      </w:r>
      <w:r>
        <w:t xml:space="preserve">. Elles constituent le dernier recours en cas de perte majeure des données et de leurs sauvegardes primaires, et garantissent la PDMA des archives.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329"/>
        <w:gridCol w:w="1230"/>
        <w:gridCol w:w="1527"/>
        <w:gridCol w:w="1329"/>
        <w:gridCol w:w="933"/>
        <w:gridCol w:w="1805"/>
        <w:gridCol w:w="1258"/>
      </w:tblGrid>
      <w:tr>
        <w:trPr>
          <w:tblHeader w:val="true"/>
          <w:tblHeader w:val="true"/>
          <w:cantSplit w:val="true"/>
        </w:trPr>
        <w:tc>
          <w:tcPr>
            <w:tcW w:w="1329" w:type="dxa"/>
            <w:shd w:val="clear" w:color="auto" w:fill="1F3A5F"/>
          </w:tcPr>
          <w:p>
            <w:pPr>
              <w:pStyle w:val="Compact"/>
              <w:spacing w:after="20" w:before="20"/>
              <w:jc w:val="left"/>
            </w:pPr>
            <w:r>
              <w:rPr>
                <w:b/>
                <w:color w:val="FFFFFF"/>
                <w:sz w:val="18"/>
              </w:rPr>
              <w:t xml:space="preserve">Type</w:t>
            </w:r>
          </w:p>
        </w:tc>
        <w:tc>
          <w:tcPr>
            <w:tcW w:w="1230" w:type="dxa"/>
            <w:shd w:val="clear" w:color="auto" w:fill="1F3A5F"/>
          </w:tcPr>
          <w:p>
            <w:pPr>
              <w:pStyle w:val="Compact"/>
              <w:spacing w:after="20" w:before="20"/>
              <w:jc w:val="left"/>
            </w:pPr>
            <w:r>
              <w:rPr>
                <w:b/>
                <w:color w:val="FFFFFF"/>
                <w:sz w:val="18"/>
              </w:rPr>
              <w:t xml:space="preserve">Support</w:t>
            </w:r>
          </w:p>
        </w:tc>
        <w:tc>
          <w:tcPr>
            <w:tcW w:w="1527" w:type="dxa"/>
            <w:shd w:val="clear" w:color="auto" w:fill="1F3A5F"/>
          </w:tcPr>
          <w:p>
            <w:pPr>
              <w:pStyle w:val="Compact"/>
              <w:spacing w:after="20" w:before="20"/>
              <w:jc w:val="left"/>
            </w:pPr>
            <w:r>
              <w:rPr>
                <w:b/>
                <w:color w:val="FFFFFF"/>
                <w:sz w:val="18"/>
              </w:rPr>
              <w:t xml:space="preserve">Accessibilité</w:t>
            </w:r>
          </w:p>
        </w:tc>
        <w:tc>
          <w:tcPr>
            <w:tcW w:w="1329" w:type="dxa"/>
            <w:shd w:val="clear" w:color="auto" w:fill="1F3A5F"/>
          </w:tcPr>
          <w:p>
            <w:pPr>
              <w:pStyle w:val="Compact"/>
              <w:spacing w:after="20" w:before="20"/>
              <w:jc w:val="left"/>
            </w:pPr>
            <w:r>
              <w:rPr>
                <w:b/>
                <w:color w:val="FFFFFF"/>
                <w:sz w:val="18"/>
              </w:rPr>
              <w:t xml:space="preserve">Évolutivité</w:t>
            </w:r>
          </w:p>
        </w:tc>
        <w:tc>
          <w:tcPr>
            <w:tcW w:w="933" w:type="dxa"/>
            <w:shd w:val="clear" w:color="auto" w:fill="1F3A5F"/>
          </w:tcPr>
          <w:p>
            <w:pPr>
              <w:pStyle w:val="Compact"/>
              <w:spacing w:after="20" w:before="20"/>
              <w:jc w:val="left"/>
            </w:pPr>
            <w:r>
              <w:rPr>
                <w:b/>
                <w:color w:val="FFFFFF"/>
                <w:sz w:val="18"/>
              </w:rPr>
              <w:t xml:space="preserve">Durée de vie</w:t>
            </w:r>
          </w:p>
        </w:tc>
        <w:tc>
          <w:tcPr>
            <w:tcW w:w="1805" w:type="dxa"/>
            <w:shd w:val="clear" w:color="auto" w:fill="1F3A5F"/>
          </w:tcPr>
          <w:p>
            <w:pPr>
              <w:pStyle w:val="Compact"/>
              <w:spacing w:after="20" w:before="20"/>
              <w:jc w:val="left"/>
            </w:pPr>
            <w:r>
              <w:rPr>
                <w:b/>
                <w:color w:val="FFFFFF"/>
                <w:sz w:val="18"/>
              </w:rPr>
              <w:t xml:space="preserve">Usage</w:t>
            </w:r>
          </w:p>
        </w:tc>
        <w:tc>
          <w:tcPr>
            <w:tcW w:w="1258" w:type="dxa"/>
            <w:shd w:val="clear" w:color="auto" w:fill="1F3A5F"/>
          </w:tcPr>
          <w:p>
            <w:pPr>
              <w:pStyle w:val="Compact"/>
              <w:spacing w:after="20" w:before="20"/>
              <w:jc w:val="left"/>
            </w:pPr>
            <w:r>
              <w:rPr>
                <w:b/>
                <w:color w:val="FFFFFF"/>
                <w:sz w:val="18"/>
              </w:rPr>
              <w:t xml:space="preserve">Exemples</w:t>
            </w:r>
          </w:p>
        </w:tc>
      </w:tr>
      <w:tr>
        <w:trPr>
          <w:cantSplit w:val="true"/>
        </w:trPr>
        <w:tc>
          <w:tcPr>
            <w:tcW w:w="1329" w:type="dxa"/>
          </w:tcPr>
          <w:p>
            <w:pPr>
              <w:pStyle w:val="Compact"/>
              <w:spacing w:after="20" w:before="20"/>
              <w:jc w:val="left"/>
            </w:pPr>
            <w:r>
              <w:rPr>
                <w:bCs/>
                <w:b/>
                <w:sz w:val="18"/>
              </w:rPr>
              <w:t xml:space="preserve">Actives</w:t>
            </w:r>
          </w:p>
        </w:tc>
        <w:tc>
          <w:tcPr>
            <w:tcW w:w="1230" w:type="dxa"/>
          </w:tcPr>
          <w:p>
            <w:pPr>
              <w:pStyle w:val="Compact"/>
              <w:spacing w:after="20" w:before="20"/>
              <w:jc w:val="left"/>
            </w:pPr>
            <w:r>
              <w:rPr>
                <w:sz w:val="18"/>
              </w:rPr>
              <w:t xml:space="preserve">Primaire</w:t>
            </w:r>
          </w:p>
        </w:tc>
        <w:tc>
          <w:tcPr>
            <w:tcW w:w="1527" w:type="dxa"/>
          </w:tcPr>
          <w:p>
            <w:pPr>
              <w:pStyle w:val="Compact"/>
              <w:spacing w:after="20" w:before="20"/>
              <w:jc w:val="left"/>
            </w:pPr>
            <w:r>
              <w:rPr>
                <w:sz w:val="18"/>
              </w:rPr>
              <w:t xml:space="preserve">Oui</w:t>
            </w:r>
          </w:p>
        </w:tc>
        <w:tc>
          <w:tcPr>
            <w:tcW w:w="1329" w:type="dxa"/>
          </w:tcPr>
          <w:p>
            <w:pPr>
              <w:pStyle w:val="Compact"/>
              <w:spacing w:after="20" w:before="20"/>
              <w:jc w:val="left"/>
            </w:pPr>
            <w:r>
              <w:rPr>
                <w:sz w:val="18"/>
              </w:rPr>
              <w:t xml:space="preserve">Oui</w:t>
            </w:r>
          </w:p>
        </w:tc>
        <w:tc>
          <w:tcPr>
            <w:tcW w:w="933" w:type="dxa"/>
          </w:tcPr>
          <w:p>
            <w:pPr>
              <w:pStyle w:val="Compact"/>
              <w:spacing w:after="20" w:before="20"/>
              <w:jc w:val="left"/>
            </w:pPr>
            <w:r>
              <w:rPr>
                <w:sz w:val="18"/>
              </w:rPr>
              <w:t xml:space="preserve">Courte</w:t>
            </w:r>
          </w:p>
        </w:tc>
        <w:tc>
          <w:tcPr>
            <w:tcW w:w="1805" w:type="dxa"/>
          </w:tcPr>
          <w:p>
            <w:pPr>
              <w:pStyle w:val="Compact"/>
              <w:spacing w:after="20" w:before="20"/>
              <w:jc w:val="left"/>
            </w:pPr>
            <w:r>
              <w:rPr>
                <w:sz w:val="18"/>
              </w:rPr>
              <w:t xml:space="preserve">Activité métier quotidienne</w:t>
            </w:r>
          </w:p>
        </w:tc>
        <w:tc>
          <w:tcPr>
            <w:tcW w:w="1258" w:type="dxa"/>
          </w:tcPr>
          <w:p>
            <w:pPr>
              <w:pStyle w:val="Compact"/>
              <w:spacing w:after="20" w:before="20"/>
              <w:jc w:val="left"/>
            </w:pPr>
            <w:r>
              <w:rPr>
                <w:sz w:val="18"/>
              </w:rPr>
              <w:t xml:space="preserve">Bases applicatives, bureautique, systèmes d'exploitation, flux entrants et sortants</w:t>
            </w:r>
          </w:p>
        </w:tc>
      </w:tr>
      <w:tr>
        <w:trPr>
          <w:cantSplit w:val="true"/>
        </w:trPr>
        <w:tc>
          <w:tcPr>
            <w:tcW w:w="1329" w:type="dxa"/>
            <w:shd w:val="clear" w:color="auto" w:fill="EEF2F6"/>
          </w:tcPr>
          <w:p>
            <w:pPr>
              <w:pStyle w:val="Compact"/>
              <w:spacing w:after="20" w:before="20"/>
              <w:jc w:val="left"/>
            </w:pPr>
            <w:r>
              <w:rPr>
                <w:bCs/>
                <w:b/>
                <w:sz w:val="18"/>
              </w:rPr>
              <w:t xml:space="preserve">Historiques</w:t>
            </w:r>
          </w:p>
        </w:tc>
        <w:tc>
          <w:tcPr>
            <w:tcW w:w="1230" w:type="dxa"/>
            <w:shd w:val="clear" w:color="auto" w:fill="EEF2F6"/>
          </w:tcPr>
          <w:p>
            <w:pPr>
              <w:pStyle w:val="Compact"/>
              <w:spacing w:after="20" w:before="20"/>
              <w:jc w:val="left"/>
            </w:pPr>
            <w:r>
              <w:rPr>
                <w:sz w:val="18"/>
              </w:rPr>
              <w:t xml:space="preserve">Primaire</w:t>
            </w:r>
          </w:p>
        </w:tc>
        <w:tc>
          <w:tcPr>
            <w:tcW w:w="1527" w:type="dxa"/>
            <w:shd w:val="clear" w:color="auto" w:fill="EEF2F6"/>
          </w:tcPr>
          <w:p>
            <w:pPr>
              <w:pStyle w:val="Compact"/>
              <w:spacing w:after="20" w:before="20"/>
              <w:jc w:val="left"/>
            </w:pPr>
            <w:r>
              <w:rPr>
                <w:sz w:val="18"/>
              </w:rPr>
              <w:t xml:space="preserve">Oui</w:t>
            </w:r>
          </w:p>
        </w:tc>
        <w:tc>
          <w:tcPr>
            <w:tcW w:w="1329" w:type="dxa"/>
            <w:shd w:val="clear" w:color="auto" w:fill="EEF2F6"/>
          </w:tcPr>
          <w:p>
            <w:pPr>
              <w:pStyle w:val="Compact"/>
              <w:spacing w:after="20" w:before="20"/>
              <w:jc w:val="left"/>
            </w:pPr>
            <w:r>
              <w:rPr>
                <w:sz w:val="18"/>
              </w:rPr>
              <w:t xml:space="preserve">Non</w:t>
            </w:r>
          </w:p>
        </w:tc>
        <w:tc>
          <w:tcPr>
            <w:tcW w:w="933" w:type="dxa"/>
            <w:shd w:val="clear" w:color="auto" w:fill="EEF2F6"/>
          </w:tcPr>
          <w:p>
            <w:pPr>
              <w:pStyle w:val="Compact"/>
              <w:spacing w:after="20" w:before="20"/>
              <w:jc w:val="left"/>
            </w:pPr>
            <w:r>
              <w:rPr>
                <w:sz w:val="18"/>
              </w:rPr>
              <w:t xml:space="preserve">Moyenne</w:t>
            </w:r>
          </w:p>
        </w:tc>
        <w:tc>
          <w:tcPr>
            <w:tcW w:w="1805" w:type="dxa"/>
            <w:shd w:val="clear" w:color="auto" w:fill="EEF2F6"/>
          </w:tcPr>
          <w:p>
            <w:pPr>
              <w:pStyle w:val="Compact"/>
              <w:spacing w:after="20" w:before="20"/>
              <w:jc w:val="left"/>
            </w:pPr>
            <w:r>
              <w:rPr>
                <w:sz w:val="18"/>
              </w:rPr>
              <w:t xml:space="preserve">Activité métier quotidienne</w:t>
            </w:r>
          </w:p>
        </w:tc>
        <w:tc>
          <w:tcPr>
            <w:tcW w:w="1258" w:type="dxa"/>
            <w:shd w:val="clear" w:color="auto" w:fill="EEF2F6"/>
          </w:tcPr>
          <w:p>
            <w:pPr>
              <w:pStyle w:val="Compact"/>
              <w:spacing w:after="20" w:before="20"/>
              <w:jc w:val="left"/>
            </w:pPr>
            <w:r>
              <w:rPr>
                <w:sz w:val="18"/>
              </w:rPr>
              <w:t xml:space="preserve">Bilans de projet, enregistrements au sens ISO 27001, journaux</w:t>
            </w:r>
          </w:p>
        </w:tc>
      </w:tr>
      <w:tr>
        <w:trPr>
          <w:cantSplit w:val="true"/>
        </w:trPr>
        <w:tc>
          <w:tcPr>
            <w:tcW w:w="1329" w:type="dxa"/>
          </w:tcPr>
          <w:p>
            <w:pPr>
              <w:pStyle w:val="Compact"/>
              <w:spacing w:after="20" w:before="20"/>
              <w:jc w:val="left"/>
            </w:pPr>
            <w:r>
              <w:rPr>
                <w:bCs/>
                <w:b/>
                <w:sz w:val="18"/>
              </w:rPr>
              <w:t xml:space="preserve">Archivées</w:t>
            </w:r>
          </w:p>
        </w:tc>
        <w:tc>
          <w:tcPr>
            <w:tcW w:w="1230" w:type="dxa"/>
          </w:tcPr>
          <w:p>
            <w:pPr>
              <w:pStyle w:val="Compact"/>
              <w:spacing w:after="20" w:before="20"/>
              <w:jc w:val="left"/>
            </w:pPr>
            <w:r>
              <w:rPr>
                <w:sz w:val="18"/>
              </w:rPr>
              <w:t xml:space="preserve">Primaire</w:t>
            </w:r>
          </w:p>
        </w:tc>
        <w:tc>
          <w:tcPr>
            <w:tcW w:w="1527" w:type="dxa"/>
          </w:tcPr>
          <w:p>
            <w:pPr>
              <w:pStyle w:val="Compact"/>
              <w:spacing w:after="20" w:before="20"/>
              <w:jc w:val="left"/>
            </w:pPr>
            <w:r>
              <w:rPr>
                <w:sz w:val="18"/>
              </w:rPr>
              <w:t xml:space="preserve">Sous contrôle</w:t>
            </w:r>
          </w:p>
        </w:tc>
        <w:tc>
          <w:tcPr>
            <w:tcW w:w="1329" w:type="dxa"/>
          </w:tcPr>
          <w:p>
            <w:pPr>
              <w:pStyle w:val="Compact"/>
              <w:spacing w:after="20" w:before="20"/>
              <w:jc w:val="left"/>
            </w:pPr>
            <w:r>
              <w:rPr>
                <w:sz w:val="18"/>
              </w:rPr>
              <w:t xml:space="preserve">Non</w:t>
            </w:r>
          </w:p>
        </w:tc>
        <w:tc>
          <w:tcPr>
            <w:tcW w:w="933" w:type="dxa"/>
          </w:tcPr>
          <w:p>
            <w:pPr>
              <w:pStyle w:val="Compact"/>
              <w:spacing w:after="20" w:before="20"/>
              <w:jc w:val="left"/>
            </w:pPr>
            <w:r>
              <w:rPr>
                <w:sz w:val="18"/>
              </w:rPr>
              <w:t xml:space="preserve">Longue</w:t>
            </w:r>
          </w:p>
        </w:tc>
        <w:tc>
          <w:tcPr>
            <w:tcW w:w="1805" w:type="dxa"/>
          </w:tcPr>
          <w:p>
            <w:pPr>
              <w:pStyle w:val="Compact"/>
              <w:spacing w:after="20" w:before="20"/>
              <w:jc w:val="left"/>
            </w:pPr>
            <w:r>
              <w:rPr>
                <w:sz w:val="18"/>
              </w:rPr>
              <w:t xml:space="preserve">Obligation légale, juridique, fiscale</w:t>
            </w:r>
          </w:p>
        </w:tc>
        <w:tc>
          <w:tcPr>
            <w:tcW w:w="1258" w:type="dxa"/>
          </w:tcPr>
          <w:p>
            <w:pPr>
              <w:pStyle w:val="Compact"/>
              <w:spacing w:after="20" w:before="20"/>
              <w:jc w:val="left"/>
            </w:pPr>
            <w:r>
              <w:rPr>
                <w:sz w:val="18"/>
              </w:rPr>
              <w:t xml:space="preserve">Contrats clos, bilans comptables</w:t>
            </w:r>
          </w:p>
        </w:tc>
      </w:tr>
      <w:tr>
        <w:trPr>
          <w:cantSplit w:val="true"/>
        </w:trPr>
        <w:tc>
          <w:tcPr>
            <w:tcW w:w="1329" w:type="dxa"/>
            <w:shd w:val="clear" w:color="auto" w:fill="EEF2F6"/>
          </w:tcPr>
          <w:p>
            <w:pPr>
              <w:pStyle w:val="Compact"/>
              <w:spacing w:after="20" w:before="20"/>
              <w:jc w:val="left"/>
            </w:pPr>
            <w:r>
              <w:rPr>
                <w:bCs/>
                <w:b/>
                <w:sz w:val="18"/>
              </w:rPr>
              <w:t xml:space="preserve">Mortes synchrones</w:t>
            </w:r>
          </w:p>
        </w:tc>
        <w:tc>
          <w:tcPr>
            <w:tcW w:w="1230" w:type="dxa"/>
            <w:shd w:val="clear" w:color="auto" w:fill="EEF2F6"/>
          </w:tcPr>
          <w:p>
            <w:pPr>
              <w:pStyle w:val="Compact"/>
              <w:spacing w:after="20" w:before="20"/>
              <w:jc w:val="left"/>
            </w:pPr>
            <w:r>
              <w:rPr>
                <w:sz w:val="18"/>
              </w:rPr>
              <w:t xml:space="preserve">Secondaire</w:t>
            </w:r>
          </w:p>
        </w:tc>
        <w:tc>
          <w:tcPr>
            <w:tcW w:w="1527" w:type="dxa"/>
            <w:shd w:val="clear" w:color="auto" w:fill="EEF2F6"/>
          </w:tcPr>
          <w:p>
            <w:pPr>
              <w:pStyle w:val="Compact"/>
              <w:spacing w:after="20" w:before="20"/>
              <w:jc w:val="left"/>
            </w:pPr>
            <w:r>
              <w:rPr>
                <w:sz w:val="18"/>
              </w:rPr>
              <w:t xml:space="preserve">Oui</w:t>
            </w:r>
          </w:p>
        </w:tc>
        <w:tc>
          <w:tcPr>
            <w:tcW w:w="1329" w:type="dxa"/>
            <w:shd w:val="clear" w:color="auto" w:fill="EEF2F6"/>
          </w:tcPr>
          <w:p>
            <w:pPr>
              <w:pStyle w:val="Compact"/>
              <w:spacing w:after="20" w:before="20"/>
              <w:jc w:val="left"/>
            </w:pPr>
            <w:r>
              <w:rPr>
                <w:sz w:val="18"/>
              </w:rPr>
              <w:t xml:space="preserve">Oui</w:t>
            </w:r>
          </w:p>
        </w:tc>
        <w:tc>
          <w:tcPr>
            <w:tcW w:w="933" w:type="dxa"/>
            <w:shd w:val="clear" w:color="auto" w:fill="EEF2F6"/>
          </w:tcPr>
          <w:p>
            <w:pPr>
              <w:pStyle w:val="Compact"/>
              <w:spacing w:after="20" w:before="20"/>
              <w:jc w:val="left"/>
            </w:pPr>
            <w:r>
              <w:rPr>
                <w:sz w:val="18"/>
              </w:rPr>
              <w:t xml:space="preserve">Courte</w:t>
            </w:r>
          </w:p>
        </w:tc>
        <w:tc>
          <w:tcPr>
            <w:tcW w:w="1805" w:type="dxa"/>
            <w:shd w:val="clear" w:color="auto" w:fill="EEF2F6"/>
          </w:tcPr>
          <w:p>
            <w:pPr>
              <w:pStyle w:val="Compact"/>
              <w:spacing w:after="20" w:before="20"/>
              <w:jc w:val="left"/>
            </w:pPr>
            <w:r>
              <w:rPr>
                <w:sz w:val="18"/>
              </w:rPr>
              <w:t xml:space="preserve">Incidents immédiatement détectés (perte matérielle)</w:t>
            </w:r>
          </w:p>
        </w:tc>
        <w:tc>
          <w:tcPr>
            <w:tcW w:w="1258" w:type="dxa"/>
            <w:shd w:val="clear" w:color="auto" w:fill="EEF2F6"/>
          </w:tcPr>
          <w:p>
            <w:pPr>
              <w:pStyle w:val="Compact"/>
              <w:spacing w:after="20" w:before="20"/>
              <w:jc w:val="left"/>
            </w:pPr>
            <w:r>
              <w:rPr>
                <w:sz w:val="18"/>
              </w:rPr>
              <w:t xml:space="preserve">Réplicas des données actives et historiques</w:t>
            </w:r>
          </w:p>
        </w:tc>
      </w:tr>
      <w:tr>
        <w:trPr>
          <w:cantSplit w:val="true"/>
        </w:trPr>
        <w:tc>
          <w:tcPr>
            <w:tcW w:w="1329" w:type="dxa"/>
          </w:tcPr>
          <w:p>
            <w:pPr>
              <w:pStyle w:val="Compact"/>
              <w:spacing w:after="20" w:before="20"/>
              <w:jc w:val="left"/>
            </w:pPr>
            <w:r>
              <w:rPr>
                <w:bCs/>
                <w:b/>
                <w:sz w:val="18"/>
              </w:rPr>
              <w:t xml:space="preserve">Mortes asynchrones</w:t>
            </w:r>
          </w:p>
        </w:tc>
        <w:tc>
          <w:tcPr>
            <w:tcW w:w="1230" w:type="dxa"/>
          </w:tcPr>
          <w:p>
            <w:pPr>
              <w:pStyle w:val="Compact"/>
              <w:spacing w:after="20" w:before="20"/>
              <w:jc w:val="left"/>
            </w:pPr>
            <w:r>
              <w:rPr>
                <w:sz w:val="18"/>
              </w:rPr>
              <w:t xml:space="preserve">Secondaire</w:t>
            </w:r>
          </w:p>
        </w:tc>
        <w:tc>
          <w:tcPr>
            <w:tcW w:w="1527" w:type="dxa"/>
          </w:tcPr>
          <w:p>
            <w:pPr>
              <w:pStyle w:val="Compact"/>
              <w:spacing w:after="20" w:before="20"/>
              <w:jc w:val="left"/>
            </w:pPr>
            <w:r>
              <w:rPr>
                <w:sz w:val="18"/>
              </w:rPr>
              <w:t xml:space="preserve">Oui</w:t>
            </w:r>
          </w:p>
        </w:tc>
        <w:tc>
          <w:tcPr>
            <w:tcW w:w="1329" w:type="dxa"/>
          </w:tcPr>
          <w:p>
            <w:pPr>
              <w:pStyle w:val="Compact"/>
              <w:spacing w:after="20" w:before="20"/>
              <w:jc w:val="left"/>
            </w:pPr>
            <w:r>
              <w:rPr>
                <w:sz w:val="18"/>
              </w:rPr>
              <w:t xml:space="preserve">Non</w:t>
            </w:r>
          </w:p>
        </w:tc>
        <w:tc>
          <w:tcPr>
            <w:tcW w:w="933" w:type="dxa"/>
          </w:tcPr>
          <w:p>
            <w:pPr>
              <w:pStyle w:val="Compact"/>
              <w:spacing w:after="20" w:before="20"/>
              <w:jc w:val="left"/>
            </w:pPr>
            <w:r>
              <w:rPr>
                <w:sz w:val="18"/>
              </w:rPr>
              <w:t xml:space="preserve">Moyenne</w:t>
            </w:r>
          </w:p>
        </w:tc>
        <w:tc>
          <w:tcPr>
            <w:tcW w:w="1805" w:type="dxa"/>
          </w:tcPr>
          <w:p>
            <w:pPr>
              <w:pStyle w:val="Compact"/>
              <w:spacing w:after="20" w:before="20"/>
              <w:jc w:val="left"/>
            </w:pPr>
            <w:r>
              <w:rPr>
                <w:sz w:val="18"/>
              </w:rPr>
              <w:t xml:space="preserve">Incidents et dysfonctionnements applicatifs</w:t>
            </w:r>
          </w:p>
        </w:tc>
        <w:tc>
          <w:tcPr>
            <w:tcW w:w="1258" w:type="dxa"/>
          </w:tcPr>
          <w:p>
            <w:pPr>
              <w:pStyle w:val="Compact"/>
              <w:spacing w:after="20" w:before="20"/>
              <w:jc w:val="left"/>
            </w:pPr>
            <w:r>
              <w:rPr>
                <w:sz w:val="18"/>
              </w:rPr>
              <w:t xml:space="preserve">Sauvegardes des données actives et historiques</w:t>
            </w:r>
          </w:p>
        </w:tc>
      </w:tr>
      <w:tr>
        <w:trPr>
          <w:cantSplit w:val="true"/>
        </w:trPr>
        <w:tc>
          <w:tcPr>
            <w:tcW w:w="1329" w:type="dxa"/>
            <w:shd w:val="clear" w:color="auto" w:fill="EEF2F6"/>
          </w:tcPr>
          <w:p>
            <w:pPr>
              <w:pStyle w:val="Compact"/>
              <w:spacing w:after="20" w:before="20"/>
              <w:jc w:val="left"/>
            </w:pPr>
            <w:r>
              <w:rPr>
                <w:bCs/>
                <w:b/>
                <w:sz w:val="18"/>
              </w:rPr>
              <w:t xml:space="preserve">Mortes isolées</w:t>
            </w:r>
          </w:p>
        </w:tc>
        <w:tc>
          <w:tcPr>
            <w:tcW w:w="1230" w:type="dxa"/>
            <w:shd w:val="clear" w:color="auto" w:fill="EEF2F6"/>
          </w:tcPr>
          <w:p>
            <w:pPr>
              <w:pStyle w:val="Compact"/>
              <w:spacing w:after="20" w:before="20"/>
              <w:jc w:val="left"/>
            </w:pPr>
            <w:r>
              <w:rPr>
                <w:sz w:val="18"/>
              </w:rPr>
              <w:t xml:space="preserve">Secondaire</w:t>
            </w:r>
          </w:p>
        </w:tc>
        <w:tc>
          <w:tcPr>
            <w:tcW w:w="1527" w:type="dxa"/>
            <w:shd w:val="clear" w:color="auto" w:fill="EEF2F6"/>
          </w:tcPr>
          <w:p>
            <w:pPr>
              <w:pStyle w:val="Compact"/>
              <w:spacing w:after="20" w:before="20"/>
              <w:jc w:val="left"/>
            </w:pPr>
            <w:r>
              <w:rPr>
                <w:sz w:val="18"/>
              </w:rPr>
              <w:t xml:space="preserve">Sous contrôle</w:t>
            </w:r>
          </w:p>
        </w:tc>
        <w:tc>
          <w:tcPr>
            <w:tcW w:w="1329" w:type="dxa"/>
            <w:shd w:val="clear" w:color="auto" w:fill="EEF2F6"/>
          </w:tcPr>
          <w:p>
            <w:pPr>
              <w:pStyle w:val="Compact"/>
              <w:spacing w:after="20" w:before="20"/>
              <w:jc w:val="left"/>
            </w:pPr>
            <w:r>
              <w:rPr>
                <w:sz w:val="18"/>
              </w:rPr>
              <w:t xml:space="preserve">Non</w:t>
            </w:r>
          </w:p>
        </w:tc>
        <w:tc>
          <w:tcPr>
            <w:tcW w:w="933" w:type="dxa"/>
            <w:shd w:val="clear" w:color="auto" w:fill="EEF2F6"/>
          </w:tcPr>
          <w:p>
            <w:pPr>
              <w:pStyle w:val="Compact"/>
              <w:spacing w:after="20" w:before="20"/>
              <w:jc w:val="left"/>
            </w:pPr>
            <w:r>
              <w:rPr>
                <w:sz w:val="18"/>
              </w:rPr>
              <w:t xml:space="preserve">Longue</w:t>
            </w:r>
          </w:p>
        </w:tc>
        <w:tc>
          <w:tcPr>
            <w:tcW w:w="1805" w:type="dxa"/>
            <w:shd w:val="clear" w:color="auto" w:fill="EEF2F6"/>
          </w:tcPr>
          <w:p>
            <w:pPr>
              <w:pStyle w:val="Compact"/>
              <w:spacing w:after="20" w:before="20"/>
              <w:jc w:val="left"/>
            </w:pPr>
            <w:r>
              <w:rPr>
                <w:sz w:val="18"/>
              </w:rPr>
              <w:t xml:space="preserve">Dernier recours</w:t>
            </w:r>
          </w:p>
        </w:tc>
        <w:tc>
          <w:tcPr>
            <w:tcW w:w="1258" w:type="dxa"/>
            <w:shd w:val="clear" w:color="auto" w:fill="EEF2F6"/>
          </w:tcPr>
          <w:p>
            <w:pPr>
              <w:pStyle w:val="Compact"/>
              <w:spacing w:after="20" w:before="20"/>
              <w:jc w:val="left"/>
            </w:pPr>
            <w:r>
              <w:rPr>
                <w:sz w:val="18"/>
              </w:rPr>
              <w:t xml:space="preserve">Copies externalisées et immuables, sauvegardes des archives</w:t>
            </w:r>
          </w:p>
        </w:tc>
      </w:tr>
    </w:tbl>
    <w:p>
      <w:pPr>
        <w:pStyle w:val="BodyText"/>
      </w:pPr>
      <w:r>
        <w:rPr>
          <w:bCs/>
          <w:b/>
        </w:rPr>
        <w:t xml:space="preserve">Règles de cardinalité</w:t>
      </w:r>
    </w:p>
    <w:p>
      <w:pPr>
        <w:numPr>
          <w:ilvl w:val="0"/>
          <w:numId w:val="1011"/>
        </w:numPr>
        <w:pStyle w:val="Compact"/>
      </w:pPr>
      <w:r>
        <w:t xml:space="preserve">Une donnée active ou historique peut générer une ou plusieurs données mortes.</w:t>
      </w:r>
    </w:p>
    <w:p>
      <w:pPr>
        <w:numPr>
          <w:ilvl w:val="0"/>
          <w:numId w:val="1011"/>
        </w:numPr>
        <w:pStyle w:val="Compact"/>
      </w:pPr>
      <w:r>
        <w:t xml:space="preserve">Une donnée morte est associée à une seule donnée active ou historique.</w:t>
      </w:r>
    </w:p>
    <w:p>
      <w:pPr>
        <w:pStyle w:val="FirstParagraph"/>
      </w:pPr>
      <w:r>
        <w:rPr>
          <w:bCs/>
          <w:b/>
        </w:rPr>
        <w:t xml:space="preserve">Sauvegarde ≠ archivage.</w:t>
      </w:r>
      <w:r>
        <w:t xml:space="preserve"> </w:t>
      </w:r>
      <w:r>
        <w:t xml:space="preserve">La sauvegarde produit des copies temporaires destinées à la restauration ; l'archivage déplace la donnée vers un support dédié pour répondre à une obligation de conservation.</w:t>
      </w:r>
    </w:p>
    <w:bookmarkEnd w:id="34"/>
    <w:bookmarkStart w:id="35" w:name="dmia-et-pdma"/>
    <w:p>
      <w:pPr>
        <w:pStyle w:val="Heading2"/>
      </w:pPr>
      <w:r>
        <w:t xml:space="preserve">5.2 DMIA et PDMA</w:t>
      </w:r>
    </w:p>
    <w:p>
      <w:pPr>
        <w:pStyle w:val="FirstParagraph"/>
      </w:pPr>
      <w:r>
        <w:rPr>
          <w:bCs/>
          <w:b/>
        </w:rPr>
        <w:t xml:space="preserve">Sens retenu dans ce document.</w:t>
      </w:r>
      <w:r>
        <w:t xml:space="preserve"> </w:t>
      </w:r>
      <w:r>
        <w:t xml:space="preserve">La DMIA et la PDMA sont ici des</w:t>
      </w:r>
      <w:r>
        <w:t xml:space="preserve"> </w:t>
      </w:r>
      <w:r>
        <w:rPr>
          <w:bCs/>
          <w:b/>
        </w:rPr>
        <w:t xml:space="preserve">engagements de la DSI</w:t>
      </w:r>
      <w:r>
        <w:t xml:space="preserve"> </w:t>
      </w:r>
      <w:r>
        <w:t xml:space="preserve">: l'équivalent du RTO et du RPO informatiques. Elles se déduisent des besoins exprimés dans l'analyse d'impact sur l'activité (BIA), selon la chaîne suivante :</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2197"/>
        <w:gridCol w:w="1481"/>
        <w:gridCol w:w="2866"/>
        <w:gridCol w:w="2866"/>
      </w:tblGrid>
      <w:tr>
        <w:trPr>
          <w:tblHeader w:val="true"/>
          <w:tblHeader w:val="true"/>
          <w:cantSplit w:val="true"/>
        </w:trPr>
        <w:tc>
          <w:tcPr>
            <w:tcW w:w="2197" w:type="dxa"/>
            <w:shd w:val="clear" w:color="auto" w:fill="1F3A5F"/>
          </w:tcPr>
          <w:p>
            <w:pPr>
              <w:pStyle w:val="Compact"/>
              <w:spacing w:after="20" w:before="20"/>
              <w:jc w:val="left"/>
            </w:pPr>
            <w:r>
              <w:rPr>
                <w:b/>
                <w:color w:val="FFFFFF"/>
                <w:sz w:val="18"/>
              </w:rPr>
              <w:t xml:space="preserve">Délai</w:t>
            </w:r>
          </w:p>
        </w:tc>
        <w:tc>
          <w:tcPr>
            <w:tcW w:w="1481" w:type="dxa"/>
            <w:shd w:val="clear" w:color="auto" w:fill="1F3A5F"/>
          </w:tcPr>
          <w:p>
            <w:pPr>
              <w:pStyle w:val="Compact"/>
              <w:spacing w:after="20" w:before="20"/>
              <w:jc w:val="left"/>
            </w:pPr>
            <w:r>
              <w:rPr>
                <w:b/>
                <w:color w:val="FFFFFF"/>
                <w:sz w:val="18"/>
              </w:rPr>
              <w:t xml:space="preserve">Fixé par</w:t>
            </w:r>
          </w:p>
        </w:tc>
        <w:tc>
          <w:tcPr>
            <w:tcW w:w="2866" w:type="dxa"/>
            <w:shd w:val="clear" w:color="auto" w:fill="1F3A5F"/>
          </w:tcPr>
          <w:p>
            <w:pPr>
              <w:pStyle w:val="Compact"/>
              <w:spacing w:after="20" w:before="20"/>
              <w:jc w:val="left"/>
            </w:pPr>
            <w:r>
              <w:rPr>
                <w:b/>
                <w:color w:val="FFFFFF"/>
                <w:sz w:val="18"/>
              </w:rPr>
              <w:t xml:space="preserve">Définition</w:t>
            </w:r>
          </w:p>
        </w:tc>
        <w:tc>
          <w:tcPr>
            <w:tcW w:w="2866" w:type="dxa"/>
            <w:shd w:val="clear" w:color="auto" w:fill="1F3A5F"/>
          </w:tcPr>
          <w:p>
            <w:pPr>
              <w:pStyle w:val="Compact"/>
              <w:spacing w:after="20" w:before="20"/>
              <w:jc w:val="left"/>
            </w:pPr>
            <w:r>
              <w:rPr>
                <w:b/>
                <w:color w:val="FFFFFF"/>
                <w:sz w:val="18"/>
              </w:rPr>
              <w:t xml:space="preserve">Relation</w:t>
            </w:r>
          </w:p>
        </w:tc>
      </w:tr>
      <w:tr>
        <w:trPr>
          <w:cantSplit w:val="true"/>
        </w:trPr>
        <w:tc>
          <w:tcPr>
            <w:tcW w:w="2197" w:type="dxa"/>
          </w:tcPr>
          <w:p>
            <w:pPr>
              <w:pStyle w:val="Compact"/>
              <w:spacing w:after="20" w:before="20"/>
              <w:jc w:val="left"/>
            </w:pPr>
            <w:r>
              <w:rPr>
                <w:sz w:val="18"/>
              </w:rPr>
              <w:t xml:space="preserve">Durée d'interruption maximale tolérable (</w:t>
            </w:r>
            <w:r>
              <w:rPr>
                <w:iCs/>
                <w:i/>
                <w:sz w:val="18"/>
              </w:rPr>
              <w:t xml:space="preserve">MTPD</w:t>
            </w:r>
            <w:r>
              <w:rPr>
                <w:sz w:val="18"/>
              </w:rPr>
              <w:t xml:space="preserve">)</w:t>
            </w:r>
          </w:p>
        </w:tc>
        <w:tc>
          <w:tcPr>
            <w:tcW w:w="1481" w:type="dxa"/>
          </w:tcPr>
          <w:p>
            <w:pPr>
              <w:pStyle w:val="Compact"/>
              <w:spacing w:after="20" w:before="20"/>
              <w:jc w:val="left"/>
            </w:pPr>
            <w:r>
              <w:rPr>
                <w:sz w:val="18"/>
              </w:rPr>
              <w:t xml:space="preserve">Métier, par la BIA</w:t>
            </w:r>
          </w:p>
        </w:tc>
        <w:tc>
          <w:tcPr>
            <w:tcW w:w="2866" w:type="dxa"/>
          </w:tcPr>
          <w:p>
            <w:pPr>
              <w:pStyle w:val="Compact"/>
              <w:spacing w:after="20" w:before="20"/>
              <w:jc w:val="left"/>
            </w:pPr>
            <w:r>
              <w:rPr>
                <w:sz w:val="18"/>
              </w:rPr>
              <w:t xml:space="preserve">Délai au-delà duquel les conséquences de l'interruption deviennent inacceptables pour</w:t>
            </w:r>
            <w:r>
              <w:rPr>
                <w:sz w:val="18"/>
              </w:rPr>
              <w:t xml:space="preserve"> </w:t>
            </w:r>
            <w:r>
              <w:rPr>
                <w:rStyle w:val="VerbatimChar"/>
                <w:b/>
                <w:color w:val="8A5A00"/>
                <w:sz w:val="18"/>
              </w:rPr>
              <w:t xml:space="preserve">{{ORGANISATION}}</w:t>
            </w:r>
          </w:p>
        </w:tc>
        <w:tc>
          <w:tcPr>
            <w:tcW w:w="2866" w:type="dxa"/>
          </w:tcPr>
          <w:p>
            <w:pPr>
              <w:pStyle w:val="Compact"/>
              <w:spacing w:after="20" w:before="20"/>
              <w:jc w:val="left"/>
            </w:pPr>
            <w:r>
              <w:rPr>
                <w:sz w:val="18"/>
              </w:rPr>
              <w:t xml:space="preserve">Borne supérieure</w:t>
            </w:r>
          </w:p>
        </w:tc>
      </w:tr>
      <w:tr>
        <w:trPr>
          <w:cantSplit w:val="true"/>
        </w:trPr>
        <w:tc>
          <w:tcPr>
            <w:tcW w:w="2197" w:type="dxa"/>
            <w:shd w:val="clear" w:color="auto" w:fill="EEF2F6"/>
          </w:tcPr>
          <w:p>
            <w:pPr>
              <w:pStyle w:val="Compact"/>
              <w:spacing w:after="20" w:before="20"/>
              <w:jc w:val="left"/>
            </w:pPr>
            <w:r>
              <w:rPr>
                <w:sz w:val="18"/>
              </w:rPr>
              <w:t xml:space="preserve">Objectif de reprise de l'activité (</w:t>
            </w:r>
            <w:r>
              <w:rPr>
                <w:iCs/>
                <w:i/>
                <w:sz w:val="18"/>
              </w:rPr>
              <w:t xml:space="preserve">RTO métier</w:t>
            </w:r>
            <w:r>
              <w:rPr>
                <w:sz w:val="18"/>
              </w:rPr>
              <w:t xml:space="preserve">)</w:t>
            </w:r>
          </w:p>
        </w:tc>
        <w:tc>
          <w:tcPr>
            <w:tcW w:w="1481" w:type="dxa"/>
            <w:shd w:val="clear" w:color="auto" w:fill="EEF2F6"/>
          </w:tcPr>
          <w:p>
            <w:pPr>
              <w:pStyle w:val="Compact"/>
              <w:spacing w:after="20" w:before="20"/>
              <w:jc w:val="left"/>
            </w:pPr>
            <w:r>
              <w:rPr>
                <w:sz w:val="18"/>
              </w:rPr>
              <w:t xml:space="preserve">Métier</w:t>
            </w:r>
          </w:p>
        </w:tc>
        <w:tc>
          <w:tcPr>
            <w:tcW w:w="2866" w:type="dxa"/>
            <w:shd w:val="clear" w:color="auto" w:fill="EEF2F6"/>
          </w:tcPr>
          <w:p>
            <w:pPr>
              <w:pStyle w:val="Compact"/>
              <w:spacing w:after="20" w:before="20"/>
              <w:jc w:val="left"/>
            </w:pPr>
            <w:r>
              <w:rPr>
                <w:sz w:val="18"/>
              </w:rPr>
              <w:t xml:space="preserve">Délai visé pour reprendre l'activité, au moins à son niveau minimal (</w:t>
            </w:r>
            <w:r>
              <w:rPr>
                <w:iCs/>
                <w:i/>
                <w:sz w:val="18"/>
              </w:rPr>
              <w:t xml:space="preserve">MBCO</w:t>
            </w:r>
            <w:r>
              <w:rPr>
                <w:sz w:val="18"/>
              </w:rPr>
              <w:t xml:space="preserve">)</w:t>
            </w:r>
          </w:p>
        </w:tc>
        <w:tc>
          <w:tcPr>
            <w:tcW w:w="2866" w:type="dxa"/>
            <w:shd w:val="clear" w:color="auto" w:fill="EEF2F6"/>
          </w:tcPr>
          <w:p>
            <w:pPr>
              <w:pStyle w:val="Compact"/>
              <w:spacing w:after="20" w:before="20"/>
              <w:jc w:val="left"/>
            </w:pPr>
            <w:r>
              <w:rPr>
                <w:sz w:val="18"/>
              </w:rPr>
              <w:t xml:space="preserve">≤ MTPD</w:t>
            </w:r>
          </w:p>
        </w:tc>
      </w:tr>
      <w:tr>
        <w:trPr>
          <w:cantSplit w:val="true"/>
        </w:trPr>
        <w:tc>
          <w:tcPr>
            <w:tcW w:w="2197" w:type="dxa"/>
          </w:tcPr>
          <w:p>
            <w:pPr>
              <w:pStyle w:val="Compact"/>
              <w:spacing w:after="20" w:before="20"/>
              <w:jc w:val="left"/>
            </w:pPr>
            <w:r>
              <w:rPr>
                <w:bCs/>
                <w:b/>
                <w:sz w:val="18"/>
              </w:rPr>
              <w:t xml:space="preserve">DMIA</w:t>
            </w:r>
            <w:r>
              <w:rPr>
                <w:sz w:val="18"/>
              </w:rPr>
              <w:t xml:space="preserve"> </w:t>
            </w:r>
            <w:r>
              <w:rPr>
                <w:sz w:val="18"/>
              </w:rPr>
              <w:t xml:space="preserve">(engagement de restauration informatique)</w:t>
            </w:r>
          </w:p>
        </w:tc>
        <w:tc>
          <w:tcPr>
            <w:tcW w:w="1481" w:type="dxa"/>
          </w:tcPr>
          <w:p>
            <w:pPr>
              <w:pStyle w:val="Compact"/>
              <w:spacing w:after="20" w:before="20"/>
              <w:jc w:val="left"/>
            </w:pPr>
            <w:r>
              <w:rPr>
                <w:sz w:val="18"/>
              </w:rPr>
              <w:t xml:space="preserve">DSI, dans la présente stratégie</w:t>
            </w:r>
          </w:p>
        </w:tc>
        <w:tc>
          <w:tcPr>
            <w:tcW w:w="2866" w:type="dxa"/>
          </w:tcPr>
          <w:p>
            <w:pPr>
              <w:pStyle w:val="Compact"/>
              <w:spacing w:after="20" w:before="20"/>
              <w:jc w:val="left"/>
            </w:pPr>
            <w:r>
              <w:rPr>
                <w:sz w:val="18"/>
              </w:rPr>
              <w:t xml:space="preserve">Délai de retour des données et applications</w:t>
            </w:r>
          </w:p>
        </w:tc>
        <w:tc>
          <w:tcPr>
            <w:tcW w:w="2866" w:type="dxa"/>
          </w:tcPr>
          <w:p>
            <w:pPr>
              <w:pStyle w:val="Compact"/>
              <w:spacing w:after="20" w:before="20"/>
              <w:jc w:val="left"/>
            </w:pPr>
            <w:r>
              <w:rPr>
                <w:sz w:val="18"/>
              </w:rPr>
              <w:t xml:space="preserve">≤ RTO métier − délai de reprise métier (ressaisie, contrôles, rattrapage)</w:t>
            </w:r>
          </w:p>
        </w:tc>
      </w:tr>
      <w:tr>
        <w:trPr>
          <w:cantSplit w:val="true"/>
        </w:trPr>
        <w:tc>
          <w:tcPr>
            <w:tcW w:w="2197" w:type="dxa"/>
            <w:shd w:val="clear" w:color="auto" w:fill="EEF2F6"/>
          </w:tcPr>
          <w:p>
            <w:pPr>
              <w:pStyle w:val="Compact"/>
              <w:spacing w:after="20" w:before="20"/>
              <w:jc w:val="left"/>
            </w:pPr>
            <w:r>
              <w:rPr>
                <w:sz w:val="18"/>
              </w:rPr>
              <w:t xml:space="preserve">Perte de données tolérable</w:t>
            </w:r>
          </w:p>
        </w:tc>
        <w:tc>
          <w:tcPr>
            <w:tcW w:w="1481" w:type="dxa"/>
            <w:shd w:val="clear" w:color="auto" w:fill="EEF2F6"/>
          </w:tcPr>
          <w:p>
            <w:pPr>
              <w:pStyle w:val="Compact"/>
              <w:spacing w:after="20" w:before="20"/>
              <w:jc w:val="left"/>
            </w:pPr>
            <w:r>
              <w:rPr>
                <w:sz w:val="18"/>
              </w:rPr>
              <w:t xml:space="preserve">Métier, par la BIA</w:t>
            </w:r>
          </w:p>
        </w:tc>
        <w:tc>
          <w:tcPr>
            <w:tcW w:w="2866" w:type="dxa"/>
            <w:shd w:val="clear" w:color="auto" w:fill="EEF2F6"/>
          </w:tcPr>
          <w:p>
            <w:pPr>
              <w:pStyle w:val="Compact"/>
              <w:spacing w:after="20" w:before="20"/>
              <w:jc w:val="left"/>
            </w:pPr>
            <w:r>
              <w:rPr>
                <w:sz w:val="18"/>
              </w:rPr>
              <w:t xml:space="preserve">Volume ou ancienneté des données dont la perte reste acceptable</w:t>
            </w:r>
          </w:p>
        </w:tc>
        <w:tc>
          <w:tcPr>
            <w:tcW w:w="2866" w:type="dxa"/>
            <w:shd w:val="clear" w:color="auto" w:fill="EEF2F6"/>
          </w:tcPr>
          <w:p>
            <w:pPr>
              <w:pStyle w:val="Compact"/>
              <w:spacing w:after="20" w:before="20"/>
              <w:jc w:val="left"/>
            </w:pPr>
            <w:r>
              <w:rPr>
                <w:sz w:val="18"/>
              </w:rPr>
              <w:t xml:space="preserve">Borne supérieure</w:t>
            </w:r>
          </w:p>
        </w:tc>
      </w:tr>
      <w:tr>
        <w:trPr>
          <w:cantSplit w:val="true"/>
        </w:trPr>
        <w:tc>
          <w:tcPr>
            <w:tcW w:w="2197" w:type="dxa"/>
          </w:tcPr>
          <w:p>
            <w:pPr>
              <w:pStyle w:val="Compact"/>
              <w:spacing w:after="20" w:before="20"/>
              <w:jc w:val="left"/>
            </w:pPr>
            <w:r>
              <w:rPr>
                <w:bCs/>
                <w:b/>
                <w:sz w:val="18"/>
              </w:rPr>
              <w:t xml:space="preserve">PDMA</w:t>
            </w:r>
            <w:r>
              <w:rPr>
                <w:sz w:val="18"/>
              </w:rPr>
              <w:t xml:space="preserve"> </w:t>
            </w:r>
            <w:r>
              <w:rPr>
                <w:sz w:val="18"/>
              </w:rPr>
              <w:t xml:space="preserve">(engagement de point de restauration)</w:t>
            </w:r>
          </w:p>
        </w:tc>
        <w:tc>
          <w:tcPr>
            <w:tcW w:w="1481" w:type="dxa"/>
          </w:tcPr>
          <w:p>
            <w:pPr>
              <w:pStyle w:val="Compact"/>
              <w:spacing w:after="20" w:before="20"/>
              <w:jc w:val="left"/>
            </w:pPr>
            <w:r>
              <w:rPr>
                <w:sz w:val="18"/>
              </w:rPr>
              <w:t xml:space="preserve">DSI, dans la présente stratégie</w:t>
            </w:r>
          </w:p>
        </w:tc>
        <w:tc>
          <w:tcPr>
            <w:tcW w:w="2866" w:type="dxa"/>
          </w:tcPr>
          <w:p>
            <w:pPr>
              <w:pStyle w:val="Compact"/>
              <w:spacing w:after="20" w:before="20"/>
              <w:jc w:val="left"/>
            </w:pPr>
            <w:r>
              <w:rPr>
                <w:sz w:val="18"/>
              </w:rPr>
              <w:t xml:space="preserve">Ancienneté maximale des données restituées</w:t>
            </w:r>
          </w:p>
        </w:tc>
        <w:tc>
          <w:tcPr>
            <w:tcW w:w="2866" w:type="dxa"/>
          </w:tcPr>
          <w:p>
            <w:pPr>
              <w:pStyle w:val="Compact"/>
              <w:spacing w:after="20" w:before="20"/>
              <w:jc w:val="left"/>
            </w:pPr>
            <w:r>
              <w:rPr>
                <w:sz w:val="18"/>
              </w:rPr>
              <w:t xml:space="preserve">≤ perte tolérable</w:t>
            </w:r>
          </w:p>
        </w:tc>
      </w:tr>
    </w:tbl>
    <w:p>
      <w:pPr>
        <w:pStyle w:val="BodyText"/>
      </w:pPr>
      <w:r>
        <w:t xml:space="preserve">⚠ En France, le sigle DMIA est aussi employé au sens de durée</w:t>
      </w:r>
      <w:r>
        <w:t xml:space="preserve"> </w:t>
      </w:r>
      <w:r>
        <w:rPr>
          <w:iCs/>
          <w:i/>
        </w:rPr>
        <w:t xml:space="preserve">tolérable</w:t>
      </w:r>
      <w:r>
        <w:t xml:space="preserve"> </w:t>
      </w:r>
      <w:r>
        <w:t xml:space="preserve">(c'est le cas du lexique du Club de la continuité d'activité). Toute organisation qui adopte ce modèle doit vérifier le sens donné au sigle par ses métiers et par sa BIA, et l'écrire : un même sigle recouvrant deux délais différents produit des engagements intenables.</w:t>
      </w:r>
    </w:p>
    <w:p>
      <w:pPr>
        <w:pStyle w:val="BodyText"/>
      </w:pPr>
      <w:r>
        <w:rPr>
          <w:bCs/>
          <w:b/>
        </w:rPr>
        <w:t xml:space="preserve">La DMIA (Durée Maximale d'Interruption Admissible)</w:t>
      </w:r>
      <w:r>
        <w:t xml:space="preserve"> </w:t>
      </w:r>
      <w:r>
        <w:t xml:space="preserve">— engagement de la DSI, équivalent du</w:t>
      </w:r>
      <w:r>
        <w:t xml:space="preserve"> </w:t>
      </w:r>
      <w:r>
        <w:rPr>
          <w:iCs/>
          <w:i/>
        </w:rPr>
        <w:t xml:space="preserve">RTO, Recovery Time Objective</w:t>
      </w:r>
      <w:r>
        <w:t xml:space="preserve"> </w:t>
      </w:r>
      <w:r>
        <w:t xml:space="preserve">informatique :</w:t>
      </w:r>
    </w:p>
    <w:p>
      <w:pPr>
        <w:numPr>
          <w:ilvl w:val="0"/>
          <w:numId w:val="1012"/>
        </w:numPr>
        <w:pStyle w:val="Compact"/>
      </w:pPr>
      <w:r>
        <w:t xml:space="preserve">temps maximal pendant lequel les données peuvent rester inaccessibles suite à l'indisponibilité d'une ressource du SI (serveur, réseau, poste, application) ;</w:t>
      </w:r>
    </w:p>
    <w:p>
      <w:pPr>
        <w:numPr>
          <w:ilvl w:val="0"/>
          <w:numId w:val="1012"/>
        </w:numPr>
        <w:pStyle w:val="Compact"/>
      </w:pPr>
      <w:r>
        <w:t xml:space="preserve">définie à l'avance, à partir de l'analyse d'impact et des besoins de production de</w:t>
      </w:r>
      <w:r>
        <w:t xml:space="preserve"> </w:t>
      </w:r>
      <w:r>
        <w:rPr>
          <w:rStyle w:val="VerbatimChar"/>
          <w:b/>
          <w:color w:val="8A5A00"/>
        </w:rPr>
        <w:t xml:space="preserve">{{ORGANISATION}}</w:t>
      </w:r>
      <w:r>
        <w:t xml:space="preserve">.</w:t>
      </w:r>
    </w:p>
    <w:p>
      <w:pPr>
        <w:pStyle w:val="FirstParagraph"/>
      </w:pPr>
      <w:r>
        <w:t xml:space="preserve">Pour la tenir, il faut :</w:t>
      </w:r>
    </w:p>
    <w:p>
      <w:pPr>
        <w:numPr>
          <w:ilvl w:val="0"/>
          <w:numId w:val="1013"/>
        </w:numPr>
        <w:pStyle w:val="Compact"/>
      </w:pPr>
      <w:r>
        <w:t xml:space="preserve">détecter l'incident grave le plus tôt possible ;</w:t>
      </w:r>
    </w:p>
    <w:p>
      <w:pPr>
        <w:numPr>
          <w:ilvl w:val="0"/>
          <w:numId w:val="1013"/>
        </w:numPr>
        <w:pStyle w:val="Compact"/>
      </w:pPr>
      <w:r>
        <w:t xml:space="preserve">décider rapidement du déclenchement du plan de secours ;</w:t>
      </w:r>
    </w:p>
    <w:p>
      <w:pPr>
        <w:numPr>
          <w:ilvl w:val="0"/>
          <w:numId w:val="1013"/>
        </w:numPr>
        <w:pStyle w:val="Compact"/>
      </w:pPr>
      <w:r>
        <w:t xml:space="preserve">disposer de sauvegardes permettant un redémarrage rapide.</w:t>
      </w:r>
    </w:p>
    <w:p>
      <w:pPr>
        <w:pStyle w:val="FirstParagraph"/>
      </w:pPr>
      <w:r>
        <w:rPr>
          <w:bCs/>
          <w:b/>
        </w:rPr>
        <w:t xml:space="preserve">La PDMA (Perte de Données Maximale Admissible)</w:t>
      </w:r>
      <w:r>
        <w:t xml:space="preserve"> </w:t>
      </w:r>
      <w:r>
        <w:t xml:space="preserve">— engagement de la DSI, équivalent du</w:t>
      </w:r>
      <w:r>
        <w:t xml:space="preserve"> </w:t>
      </w:r>
      <w:r>
        <w:rPr>
          <w:iCs/>
          <w:i/>
        </w:rPr>
        <w:t xml:space="preserve">RPO, Recovery Point Objective</w:t>
      </w:r>
      <w:r>
        <w:t xml:space="preserve"> </w:t>
      </w:r>
      <w:r>
        <w:t xml:space="preserve">informatique :</w:t>
      </w:r>
    </w:p>
    <w:p>
      <w:pPr>
        <w:numPr>
          <w:ilvl w:val="0"/>
          <w:numId w:val="1014"/>
        </w:numPr>
        <w:pStyle w:val="Compact"/>
      </w:pPr>
      <w:r>
        <w:t xml:space="preserve">fixe les objectifs de sauvegarde, qui dépendent de la volumétrie et des fenêtres de sauvegarde.</w:t>
      </w:r>
    </w:p>
    <w:p>
      <w:pPr>
        <w:pStyle w:val="FirstParagraph"/>
      </w:pPr>
      <w:r>
        <w:t xml:space="preserve">Pour la tenir, il faut :</w:t>
      </w:r>
    </w:p>
    <w:p>
      <w:pPr>
        <w:numPr>
          <w:ilvl w:val="0"/>
          <w:numId w:val="1015"/>
        </w:numPr>
        <w:pStyle w:val="Compact"/>
      </w:pPr>
      <w:r>
        <w:t xml:space="preserve">disposer des sauvegardes les plus récentes possibles ;</w:t>
      </w:r>
    </w:p>
    <w:p>
      <w:pPr>
        <w:numPr>
          <w:ilvl w:val="0"/>
          <w:numId w:val="1015"/>
        </w:numPr>
        <w:pStyle w:val="Compact"/>
      </w:pPr>
      <w:r>
        <w:t xml:space="preserve">pouvoir recharger ces données dans un délai compatible avec la DMIA.</w:t>
      </w:r>
    </w:p>
    <w:p>
      <w:pPr>
        <w:pStyle w:val="FirstParagraph"/>
      </w:pPr>
      <w:r>
        <w:rPr>
          <w:bCs/>
          <w:b/>
        </w:rPr>
        <w:t xml:space="preserve">Durée maximale d'indisponibilité réelle d'une donnée.</w:t>
      </w:r>
      <w:r>
        <w:t xml:space="preserve"> </w:t>
      </w:r>
      <w:r>
        <w:t xml:space="preserve">Après un sinistre, elle s'apprécie en combinant DMIA et PDMA. Elle correspond au cumul de six phases :</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339"/>
        <w:gridCol w:w="1927"/>
        <w:gridCol w:w="2382"/>
        <w:gridCol w:w="2201"/>
        <w:gridCol w:w="2561"/>
      </w:tblGrid>
      <w:tr>
        <w:trPr>
          <w:tblHeader w:val="true"/>
          <w:tblHeader w:val="true"/>
          <w:cantSplit w:val="true"/>
        </w:trPr>
        <w:tc>
          <w:tcPr>
            <w:tcW w:w="339" w:type="dxa"/>
            <w:shd w:val="clear" w:color="auto" w:fill="1F3A5F"/>
          </w:tcPr>
          <w:p>
            <w:pPr>
              <w:pStyle w:val="Compact"/>
              <w:spacing w:after="20" w:before="20"/>
              <w:jc w:val="left"/>
            </w:pPr>
            <w:r>
              <w:rPr>
                <w:b/>
                <w:color w:val="FFFFFF"/>
                <w:sz w:val="18"/>
              </w:rPr>
              <w:t xml:space="preserve">#</w:t>
            </w:r>
          </w:p>
        </w:tc>
        <w:tc>
          <w:tcPr>
            <w:tcW w:w="1927" w:type="dxa"/>
            <w:shd w:val="clear" w:color="auto" w:fill="1F3A5F"/>
          </w:tcPr>
          <w:p>
            <w:pPr>
              <w:pStyle w:val="Compact"/>
              <w:spacing w:after="20" w:before="20"/>
              <w:jc w:val="left"/>
            </w:pPr>
            <w:r>
              <w:rPr>
                <w:b/>
                <w:color w:val="FFFFFF"/>
                <w:sz w:val="18"/>
              </w:rPr>
              <w:t xml:space="preserve">Phase</w:t>
            </w:r>
          </w:p>
        </w:tc>
        <w:tc>
          <w:tcPr>
            <w:tcW w:w="2382" w:type="dxa"/>
            <w:shd w:val="clear" w:color="auto" w:fill="1F3A5F"/>
          </w:tcPr>
          <w:p>
            <w:pPr>
              <w:pStyle w:val="Compact"/>
              <w:spacing w:after="20" w:before="20"/>
              <w:jc w:val="left"/>
            </w:pPr>
            <w:r>
              <w:rPr>
                <w:b/>
                <w:color w:val="FFFFFF"/>
                <w:sz w:val="18"/>
              </w:rPr>
              <w:t xml:space="preserve">Borne de début</w:t>
            </w:r>
          </w:p>
        </w:tc>
        <w:tc>
          <w:tcPr>
            <w:tcW w:w="2201" w:type="dxa"/>
            <w:shd w:val="clear" w:color="auto" w:fill="1F3A5F"/>
          </w:tcPr>
          <w:p>
            <w:pPr>
              <w:pStyle w:val="Compact"/>
              <w:spacing w:after="20" w:before="20"/>
              <w:jc w:val="left"/>
            </w:pPr>
            <w:r>
              <w:rPr>
                <w:b/>
                <w:color w:val="FFFFFF"/>
                <w:sz w:val="18"/>
              </w:rPr>
              <w:t xml:space="preserve">Borne de fin</w:t>
            </w:r>
          </w:p>
        </w:tc>
        <w:tc>
          <w:tcPr>
            <w:tcW w:w="2561" w:type="dxa"/>
            <w:shd w:val="clear" w:color="auto" w:fill="1F3A5F"/>
          </w:tcPr>
          <w:p>
            <w:pPr>
              <w:pStyle w:val="Compact"/>
              <w:spacing w:after="20" w:before="20"/>
              <w:jc w:val="left"/>
            </w:pPr>
            <w:r>
              <w:rPr>
                <w:b/>
                <w:color w:val="FFFFFF"/>
                <w:sz w:val="18"/>
              </w:rPr>
              <w:t xml:space="preserve">Rattachement</w:t>
            </w:r>
          </w:p>
        </w:tc>
      </w:tr>
      <w:tr>
        <w:trPr>
          <w:cantSplit w:val="true"/>
        </w:trPr>
        <w:tc>
          <w:tcPr>
            <w:tcW w:w="339" w:type="dxa"/>
          </w:tcPr>
          <w:p>
            <w:pPr>
              <w:pStyle w:val="Compact"/>
              <w:spacing w:after="20" w:before="20"/>
              <w:jc w:val="left"/>
            </w:pPr>
            <w:r>
              <w:rPr>
                <w:sz w:val="18"/>
              </w:rPr>
              <w:t xml:space="preserve">1</w:t>
            </w:r>
          </w:p>
        </w:tc>
        <w:tc>
          <w:tcPr>
            <w:tcW w:w="1927" w:type="dxa"/>
          </w:tcPr>
          <w:p>
            <w:pPr>
              <w:pStyle w:val="Compact"/>
              <w:spacing w:after="20" w:before="20"/>
              <w:jc w:val="left"/>
            </w:pPr>
            <w:r>
              <w:rPr>
                <w:sz w:val="18"/>
              </w:rPr>
              <w:t xml:space="preserve">Âge de la sauvegarde</w:t>
            </w:r>
          </w:p>
        </w:tc>
        <w:tc>
          <w:tcPr>
            <w:tcW w:w="2382" w:type="dxa"/>
          </w:tcPr>
          <w:p>
            <w:pPr>
              <w:pStyle w:val="Compact"/>
              <w:spacing w:after="20" w:before="20"/>
              <w:jc w:val="left"/>
            </w:pPr>
            <w:r>
              <w:rPr>
                <w:sz w:val="18"/>
              </w:rPr>
              <w:t xml:space="preserve">Dernière sauvegarde valide</w:t>
            </w:r>
          </w:p>
        </w:tc>
        <w:tc>
          <w:tcPr>
            <w:tcW w:w="2201" w:type="dxa"/>
          </w:tcPr>
          <w:p>
            <w:pPr>
              <w:pStyle w:val="Compact"/>
              <w:spacing w:after="20" w:before="20"/>
              <w:jc w:val="left"/>
            </w:pPr>
            <w:r>
              <w:rPr>
                <w:sz w:val="18"/>
              </w:rPr>
              <w:t xml:space="preserve">Incident</w:t>
            </w:r>
          </w:p>
        </w:tc>
        <w:tc>
          <w:tcPr>
            <w:tcW w:w="2561" w:type="dxa"/>
          </w:tcPr>
          <w:p>
            <w:pPr>
              <w:pStyle w:val="Compact"/>
              <w:spacing w:after="20" w:before="20"/>
              <w:jc w:val="left"/>
            </w:pPr>
            <w:r>
              <w:rPr>
                <w:sz w:val="18"/>
              </w:rPr>
              <w:t xml:space="preserve">PDMA</w:t>
            </w:r>
          </w:p>
        </w:tc>
      </w:tr>
      <w:tr>
        <w:trPr>
          <w:cantSplit w:val="true"/>
        </w:trPr>
        <w:tc>
          <w:tcPr>
            <w:tcW w:w="339" w:type="dxa"/>
            <w:shd w:val="clear" w:color="auto" w:fill="EEF2F6"/>
          </w:tcPr>
          <w:p>
            <w:pPr>
              <w:pStyle w:val="Compact"/>
              <w:spacing w:after="20" w:before="20"/>
              <w:jc w:val="left"/>
            </w:pPr>
            <w:r>
              <w:rPr>
                <w:sz w:val="18"/>
              </w:rPr>
              <w:t xml:space="preserve">2</w:t>
            </w:r>
          </w:p>
        </w:tc>
        <w:tc>
          <w:tcPr>
            <w:tcW w:w="1927" w:type="dxa"/>
            <w:shd w:val="clear" w:color="auto" w:fill="EEF2F6"/>
          </w:tcPr>
          <w:p>
            <w:pPr>
              <w:pStyle w:val="Compact"/>
              <w:spacing w:after="20" w:before="20"/>
              <w:jc w:val="left"/>
            </w:pPr>
            <w:r>
              <w:rPr>
                <w:sz w:val="18"/>
              </w:rPr>
              <w:t xml:space="preserve">Détection</w:t>
            </w:r>
          </w:p>
        </w:tc>
        <w:tc>
          <w:tcPr>
            <w:tcW w:w="2382" w:type="dxa"/>
            <w:shd w:val="clear" w:color="auto" w:fill="EEF2F6"/>
          </w:tcPr>
          <w:p>
            <w:pPr>
              <w:pStyle w:val="Compact"/>
              <w:spacing w:after="20" w:before="20"/>
              <w:jc w:val="left"/>
            </w:pPr>
            <w:r>
              <w:rPr>
                <w:sz w:val="18"/>
              </w:rPr>
              <w:t xml:space="preserve">Incident</w:t>
            </w:r>
          </w:p>
        </w:tc>
        <w:tc>
          <w:tcPr>
            <w:tcW w:w="2201" w:type="dxa"/>
            <w:shd w:val="clear" w:color="auto" w:fill="EEF2F6"/>
          </w:tcPr>
          <w:p>
            <w:pPr>
              <w:pStyle w:val="Compact"/>
              <w:spacing w:after="20" w:before="20"/>
              <w:jc w:val="left"/>
            </w:pPr>
            <w:r>
              <w:rPr>
                <w:sz w:val="18"/>
              </w:rPr>
              <w:t xml:space="preserve">Alarme</w:t>
            </w:r>
          </w:p>
        </w:tc>
        <w:tc>
          <w:tcPr>
            <w:tcW w:w="2561" w:type="dxa"/>
            <w:shd w:val="clear" w:color="auto" w:fill="EEF2F6"/>
          </w:tcPr>
          <w:p>
            <w:pPr>
              <w:pStyle w:val="Compact"/>
              <w:spacing w:after="20" w:before="20"/>
              <w:jc w:val="left"/>
            </w:pPr>
            <w:r>
              <w:rPr>
                <w:sz w:val="18"/>
              </w:rPr>
              <w:t xml:space="preserve">DMIA</w:t>
            </w:r>
          </w:p>
        </w:tc>
      </w:tr>
      <w:tr>
        <w:trPr>
          <w:cantSplit w:val="true"/>
        </w:trPr>
        <w:tc>
          <w:tcPr>
            <w:tcW w:w="339" w:type="dxa"/>
          </w:tcPr>
          <w:p>
            <w:pPr>
              <w:pStyle w:val="Compact"/>
              <w:spacing w:after="20" w:before="20"/>
              <w:jc w:val="left"/>
            </w:pPr>
            <w:r>
              <w:rPr>
                <w:sz w:val="18"/>
              </w:rPr>
              <w:t xml:space="preserve">3</w:t>
            </w:r>
          </w:p>
        </w:tc>
        <w:tc>
          <w:tcPr>
            <w:tcW w:w="1927" w:type="dxa"/>
          </w:tcPr>
          <w:p>
            <w:pPr>
              <w:pStyle w:val="Compact"/>
              <w:spacing w:after="20" w:before="20"/>
              <w:jc w:val="left"/>
            </w:pPr>
            <w:r>
              <w:rPr>
                <w:sz w:val="18"/>
              </w:rPr>
              <w:t xml:space="preserve">Diagnostic</w:t>
            </w:r>
          </w:p>
        </w:tc>
        <w:tc>
          <w:tcPr>
            <w:tcW w:w="2382" w:type="dxa"/>
          </w:tcPr>
          <w:p>
            <w:pPr>
              <w:pStyle w:val="Compact"/>
              <w:spacing w:after="20" w:before="20"/>
              <w:jc w:val="left"/>
            </w:pPr>
            <w:r>
              <w:rPr>
                <w:sz w:val="18"/>
              </w:rPr>
              <w:t xml:space="preserve">Alarme</w:t>
            </w:r>
          </w:p>
        </w:tc>
        <w:tc>
          <w:tcPr>
            <w:tcW w:w="2201" w:type="dxa"/>
          </w:tcPr>
          <w:p>
            <w:pPr>
              <w:pStyle w:val="Compact"/>
              <w:spacing w:after="20" w:before="20"/>
              <w:jc w:val="left"/>
            </w:pPr>
            <w:r>
              <w:rPr>
                <w:sz w:val="18"/>
              </w:rPr>
              <w:t xml:space="preserve">Alerte</w:t>
            </w:r>
          </w:p>
        </w:tc>
        <w:tc>
          <w:tcPr>
            <w:tcW w:w="2561" w:type="dxa"/>
          </w:tcPr>
          <w:p>
            <w:pPr>
              <w:pStyle w:val="Compact"/>
              <w:spacing w:after="20" w:before="20"/>
              <w:jc w:val="left"/>
            </w:pPr>
            <w:r>
              <w:rPr>
                <w:sz w:val="18"/>
              </w:rPr>
              <w:t xml:space="preserve">DMIA</w:t>
            </w:r>
          </w:p>
        </w:tc>
      </w:tr>
      <w:tr>
        <w:trPr>
          <w:cantSplit w:val="true"/>
        </w:trPr>
        <w:tc>
          <w:tcPr>
            <w:tcW w:w="339" w:type="dxa"/>
            <w:shd w:val="clear" w:color="auto" w:fill="EEF2F6"/>
          </w:tcPr>
          <w:p>
            <w:pPr>
              <w:pStyle w:val="Compact"/>
              <w:spacing w:after="20" w:before="20"/>
              <w:jc w:val="left"/>
            </w:pPr>
            <w:r>
              <w:rPr>
                <w:sz w:val="18"/>
              </w:rPr>
              <w:t xml:space="preserve">4</w:t>
            </w:r>
          </w:p>
        </w:tc>
        <w:tc>
          <w:tcPr>
            <w:tcW w:w="1927" w:type="dxa"/>
            <w:shd w:val="clear" w:color="auto" w:fill="EEF2F6"/>
          </w:tcPr>
          <w:p>
            <w:pPr>
              <w:pStyle w:val="Compact"/>
              <w:spacing w:after="20" w:before="20"/>
              <w:jc w:val="left"/>
            </w:pPr>
            <w:r>
              <w:rPr>
                <w:sz w:val="18"/>
              </w:rPr>
              <w:t xml:space="preserve">Décision</w:t>
            </w:r>
          </w:p>
        </w:tc>
        <w:tc>
          <w:tcPr>
            <w:tcW w:w="2382" w:type="dxa"/>
            <w:shd w:val="clear" w:color="auto" w:fill="EEF2F6"/>
          </w:tcPr>
          <w:p>
            <w:pPr>
              <w:pStyle w:val="Compact"/>
              <w:spacing w:after="20" w:before="20"/>
              <w:jc w:val="left"/>
            </w:pPr>
            <w:r>
              <w:rPr>
                <w:sz w:val="18"/>
              </w:rPr>
              <w:t xml:space="preserve">Alerte</w:t>
            </w:r>
          </w:p>
        </w:tc>
        <w:tc>
          <w:tcPr>
            <w:tcW w:w="2201" w:type="dxa"/>
            <w:shd w:val="clear" w:color="auto" w:fill="EEF2F6"/>
          </w:tcPr>
          <w:p>
            <w:pPr>
              <w:pStyle w:val="Compact"/>
              <w:spacing w:after="20" w:before="20"/>
              <w:jc w:val="left"/>
            </w:pPr>
            <w:r>
              <w:rPr>
                <w:sz w:val="18"/>
              </w:rPr>
              <w:t xml:space="preserve">Déclenchement du secours</w:t>
            </w:r>
          </w:p>
        </w:tc>
        <w:tc>
          <w:tcPr>
            <w:tcW w:w="2561" w:type="dxa"/>
            <w:shd w:val="clear" w:color="auto" w:fill="EEF2F6"/>
          </w:tcPr>
          <w:p>
            <w:pPr>
              <w:pStyle w:val="Compact"/>
              <w:spacing w:after="20" w:before="20"/>
              <w:jc w:val="left"/>
            </w:pPr>
            <w:r>
              <w:rPr>
                <w:sz w:val="18"/>
              </w:rPr>
              <w:t xml:space="preserve">DMIA (voir règle ci-dessous)</w:t>
            </w:r>
          </w:p>
        </w:tc>
      </w:tr>
      <w:tr>
        <w:trPr>
          <w:cantSplit w:val="true"/>
        </w:trPr>
        <w:tc>
          <w:tcPr>
            <w:tcW w:w="339" w:type="dxa"/>
          </w:tcPr>
          <w:p>
            <w:pPr>
              <w:pStyle w:val="Compact"/>
              <w:spacing w:after="20" w:before="20"/>
              <w:jc w:val="left"/>
            </w:pPr>
            <w:r>
              <w:rPr>
                <w:sz w:val="18"/>
              </w:rPr>
              <w:t xml:space="preserve">5</w:t>
            </w:r>
          </w:p>
        </w:tc>
        <w:tc>
          <w:tcPr>
            <w:tcW w:w="1927" w:type="dxa"/>
          </w:tcPr>
          <w:p>
            <w:pPr>
              <w:pStyle w:val="Compact"/>
              <w:spacing w:after="20" w:before="20"/>
              <w:jc w:val="left"/>
            </w:pPr>
            <w:r>
              <w:rPr>
                <w:sz w:val="18"/>
              </w:rPr>
              <w:t xml:space="preserve">Restauration</w:t>
            </w:r>
          </w:p>
        </w:tc>
        <w:tc>
          <w:tcPr>
            <w:tcW w:w="2382" w:type="dxa"/>
          </w:tcPr>
          <w:p>
            <w:pPr>
              <w:pStyle w:val="Compact"/>
              <w:spacing w:after="20" w:before="20"/>
              <w:jc w:val="left"/>
            </w:pPr>
            <w:r>
              <w:rPr>
                <w:sz w:val="18"/>
              </w:rPr>
              <w:t xml:space="preserve">Déclenchement</w:t>
            </w:r>
          </w:p>
        </w:tc>
        <w:tc>
          <w:tcPr>
            <w:tcW w:w="2201" w:type="dxa"/>
          </w:tcPr>
          <w:p>
            <w:pPr>
              <w:pStyle w:val="Compact"/>
              <w:spacing w:after="20" w:before="20"/>
              <w:jc w:val="left"/>
            </w:pPr>
            <w:r>
              <w:rPr>
                <w:sz w:val="18"/>
              </w:rPr>
              <w:t xml:space="preserve">Fin de restauration</w:t>
            </w:r>
          </w:p>
        </w:tc>
        <w:tc>
          <w:tcPr>
            <w:tcW w:w="2561" w:type="dxa"/>
          </w:tcPr>
          <w:p>
            <w:pPr>
              <w:pStyle w:val="Compact"/>
              <w:spacing w:after="20" w:before="20"/>
              <w:jc w:val="left"/>
            </w:pPr>
            <w:r>
              <w:rPr>
                <w:sz w:val="18"/>
              </w:rPr>
              <w:t xml:space="preserve">DMIA</w:t>
            </w:r>
          </w:p>
        </w:tc>
      </w:tr>
      <w:tr>
        <w:trPr>
          <w:cantSplit w:val="true"/>
        </w:trPr>
        <w:tc>
          <w:tcPr>
            <w:tcW w:w="339" w:type="dxa"/>
            <w:shd w:val="clear" w:color="auto" w:fill="EEF2F6"/>
          </w:tcPr>
          <w:p>
            <w:pPr>
              <w:pStyle w:val="Compact"/>
              <w:spacing w:after="20" w:before="20"/>
              <w:jc w:val="left"/>
            </w:pPr>
            <w:r>
              <w:rPr>
                <w:sz w:val="18"/>
              </w:rPr>
              <w:t xml:space="preserve">6</w:t>
            </w:r>
          </w:p>
        </w:tc>
        <w:tc>
          <w:tcPr>
            <w:tcW w:w="1927" w:type="dxa"/>
            <w:shd w:val="clear" w:color="auto" w:fill="EEF2F6"/>
          </w:tcPr>
          <w:p>
            <w:pPr>
              <w:pStyle w:val="Compact"/>
              <w:spacing w:after="20" w:before="20"/>
              <w:jc w:val="left"/>
            </w:pPr>
            <w:r>
              <w:rPr>
                <w:sz w:val="18"/>
              </w:rPr>
              <w:t xml:space="preserve">Validation et relance</w:t>
            </w:r>
          </w:p>
        </w:tc>
        <w:tc>
          <w:tcPr>
            <w:tcW w:w="2382" w:type="dxa"/>
            <w:shd w:val="clear" w:color="auto" w:fill="EEF2F6"/>
          </w:tcPr>
          <w:p>
            <w:pPr>
              <w:pStyle w:val="Compact"/>
              <w:spacing w:after="20" w:before="20"/>
              <w:jc w:val="left"/>
            </w:pPr>
            <w:r>
              <w:rPr>
                <w:sz w:val="18"/>
              </w:rPr>
              <w:t xml:space="preserve">Fin de restauration</w:t>
            </w:r>
          </w:p>
        </w:tc>
        <w:tc>
          <w:tcPr>
            <w:tcW w:w="2201" w:type="dxa"/>
            <w:shd w:val="clear" w:color="auto" w:fill="EEF2F6"/>
          </w:tcPr>
          <w:p>
            <w:pPr>
              <w:pStyle w:val="Compact"/>
              <w:spacing w:after="20" w:before="20"/>
              <w:jc w:val="left"/>
            </w:pPr>
            <w:r>
              <w:rPr>
                <w:sz w:val="18"/>
              </w:rPr>
              <w:t xml:space="preserve">Reprise</w:t>
            </w:r>
          </w:p>
        </w:tc>
        <w:tc>
          <w:tcPr>
            <w:tcW w:w="2561" w:type="dxa"/>
            <w:shd w:val="clear" w:color="auto" w:fill="EEF2F6"/>
          </w:tcPr>
          <w:p>
            <w:pPr>
              <w:pStyle w:val="Compact"/>
              <w:spacing w:after="20" w:before="20"/>
              <w:jc w:val="left"/>
            </w:pPr>
            <w:r>
              <w:rPr>
                <w:sz w:val="18"/>
              </w:rPr>
              <w:t xml:space="preserve">DMIA</w:t>
            </w:r>
          </w:p>
        </w:tc>
      </w:tr>
    </w:tbl>
    <w:p>
      <w:pPr>
        <w:pStyle w:val="SourceCode"/>
        <w:keepLines/>
      </w:pPr>
      <w:r>
        <w:rPr>
          <w:rStyle w:val="VerbatimChar"/>
          <w:rFonts w:ascii="DejaVu Sans Mono" w:hAnsi="DejaVu Sans Mono"/>
          <w:color w:val="1F3A5F"/>
          <w:sz w:val="14"/>
        </w:rPr>
        <w:t xml:space="preserve"> Mode nominal │◄──────────────────── Sinistre ───────────────────►│ Mode dégradé</w:t>
      </w:r>
      <w:r>
        <w:rPr>
          <w:rFonts w:ascii="DejaVu Sans Mono" w:hAnsi="DejaVu Sans Mono"/>
          <w:color w:val="1F3A5F"/>
          <w:sz w:val="14"/>
        </w:rPr>
        <w:br/>
      </w:r>
      <w:r>
        <w:rPr>
          <w:rStyle w:val="VerbatimChar"/>
          <w:rFonts w:ascii="DejaVu Sans Mono" w:hAnsi="DejaVu Sans Mono"/>
          <w:color w:val="1F3A5F"/>
          <w:sz w:val="14"/>
        </w:rPr>
        <w:t xml:space="preserve">              │                                                    │</w:t>
      </w:r>
      <w:r>
        <w:rPr>
          <w:rFonts w:ascii="DejaVu Sans Mono" w:hAnsi="DejaVu Sans Mono"/>
          <w:color w:val="1F3A5F"/>
          <w:sz w:val="14"/>
        </w:rPr>
        <w:br/>
      </w:r>
      <w:r>
        <w:rPr>
          <w:rStyle w:val="VerbatimChar"/>
          <w:rFonts w:ascii="DejaVu Sans Mono" w:hAnsi="DejaVu Sans Mono"/>
          <w:color w:val="1F3A5F"/>
          <w:sz w:val="14"/>
        </w:rPr>
        <w:t xml:space="preserve"> Sauvegarde ──┤ Incident ── Alarme ── Alerte ── Déclenchement ──── Reprise</w:t>
      </w:r>
      <w:r>
        <w:rPr>
          <w:rFonts w:ascii="DejaVu Sans Mono" w:hAnsi="DejaVu Sans Mono"/>
          <w:color w:val="1F3A5F"/>
          <w:sz w:val="14"/>
        </w:rPr>
        <w:br/>
      </w:r>
      <w:r>
        <w:rPr>
          <w:rStyle w:val="VerbatimChar"/>
          <w:rFonts w:ascii="DejaVu Sans Mono" w:hAnsi="DejaVu Sans Mono"/>
          <w:color w:val="1F3A5F"/>
          <w:sz w:val="14"/>
        </w:rPr>
        <w:t xml:space="preserve">              │◄─ PDMA ─►│◄──────────────── DMIA ────────────────►│</w:t>
      </w:r>
      <w:r>
        <w:rPr>
          <w:rFonts w:ascii="DejaVu Sans Mono" w:hAnsi="DejaVu Sans Mono"/>
          <w:color w:val="1F3A5F"/>
          <w:sz w:val="14"/>
        </w:rPr>
        <w:br/>
      </w:r>
      <w:r>
        <w:rPr>
          <w:rStyle w:val="VerbatimChar"/>
          <w:rFonts w:ascii="DejaVu Sans Mono" w:hAnsi="DejaVu Sans Mono"/>
          <w:color w:val="1F3A5F"/>
          <w:sz w:val="14"/>
        </w:rPr>
        <w:t xml:space="preserve">              │◄──────── Durée maximale d'indisponibilité réelle ─►│</w:t>
      </w:r>
    </w:p>
    <w:p>
      <w:pPr>
        <w:pStyle w:val="BlockText"/>
      </w:pPr>
      <w:r>
        <w:t xml:space="preserve">Lorsque la phase de</w:t>
      </w:r>
      <w:r>
        <w:t xml:space="preserve"> </w:t>
      </w:r>
      <w:r>
        <w:rPr>
          <w:bCs/>
          <w:b/>
        </w:rPr>
        <w:t xml:space="preserve">décision</w:t>
      </w:r>
      <w:r>
        <w:t xml:space="preserve"> </w:t>
      </w:r>
      <w:r>
        <w:t xml:space="preserve">relève des métiers, la DMIA garantie par la DSI</w:t>
      </w:r>
      <w:r>
        <w:t xml:space="preserve"> </w:t>
      </w:r>
      <w:r>
        <w:rPr>
          <w:bCs/>
          <w:b/>
        </w:rPr>
        <w:t xml:space="preserve">exclut</w:t>
      </w:r>
      <w:r>
        <w:t xml:space="preserve"> </w:t>
      </w:r>
      <w:r>
        <w:t xml:space="preserve">la durée de cette phase.</w:t>
      </w:r>
    </w:p>
    <w:p>
      <w:pPr>
        <w:pStyle w:val="FirstParagraph"/>
      </w:pPr>
      <w:r>
        <w:t xml:space="preserve">⚠</w:t>
      </w:r>
      <w:r>
        <w:t xml:space="preserve"> </w:t>
      </w:r>
      <w:r>
        <w:rPr>
          <w:bCs/>
          <w:b/>
        </w:rPr>
        <w:t xml:space="preserve">Point d'expertise</w:t>
      </w:r>
      <w:r>
        <w:t xml:space="preserve"> </w:t>
      </w:r>
      <w:r>
        <w:t xml:space="preserve">— Dans un scénario de cyberattaque, la phase 1 doit intégrer le</w:t>
      </w:r>
      <w:r>
        <w:t xml:space="preserve"> </w:t>
      </w:r>
      <w:r>
        <w:rPr>
          <w:bCs/>
          <w:b/>
        </w:rPr>
        <w:t xml:space="preserve">délai de latence de l'attaquant</w:t>
      </w:r>
      <w:r>
        <w:t xml:space="preserve"> </w:t>
      </w:r>
      <w:r>
        <w:t xml:space="preserve">: la dernière sauvegarde</w:t>
      </w:r>
      <w:r>
        <w:t xml:space="preserve"> </w:t>
      </w:r>
      <w:r>
        <w:rPr>
          <w:iCs/>
          <w:i/>
        </w:rPr>
        <w:t xml:space="preserve">saine</w:t>
      </w:r>
      <w:r>
        <w:t xml:space="preserve"> </w:t>
      </w:r>
      <w:r>
        <w:t xml:space="preserve">peut être bien plus ancienne que la dernière sauvegarde</w:t>
      </w:r>
      <w:r>
        <w:t xml:space="preserve"> </w:t>
      </w:r>
      <w:r>
        <w:rPr>
          <w:iCs/>
          <w:i/>
        </w:rPr>
        <w:t xml:space="preserve">réussie</w:t>
      </w:r>
      <w:r>
        <w:t xml:space="preserve">. La PDMA effective en ILG dépend donc de la profondeur de rétention (§5.13) et de la capacité à dater la compromission.</w:t>
      </w:r>
    </w:p>
    <w:bookmarkEnd w:id="35"/>
    <w:bookmarkStart w:id="36" w:name="classification-dicp-des-données"/>
    <w:p>
      <w:pPr>
        <w:pStyle w:val="Heading2"/>
      </w:pPr>
      <w:r>
        <w:t xml:space="preserve">5.3 Classification DICP des données</w:t>
      </w:r>
    </w:p>
    <w:p>
      <w:pPr>
        <w:pStyle w:val="FirstParagraph"/>
      </w:pPr>
      <w:r>
        <w:t xml:space="preserve">Classification utilisée pour l'analyse des risques du SI, sur quatre critères :</w:t>
      </w:r>
    </w:p>
    <w:p>
      <w:pPr>
        <w:numPr>
          <w:ilvl w:val="0"/>
          <w:numId w:val="1016"/>
        </w:numPr>
        <w:pStyle w:val="Compact"/>
      </w:pPr>
      <w:r>
        <w:rPr>
          <w:bCs/>
          <w:b/>
        </w:rPr>
        <w:t xml:space="preserve">Disponibilité</w:t>
      </w:r>
      <w:r>
        <w:t xml:space="preserve"> </w:t>
      </w:r>
      <w:r>
        <w:t xml:space="preserve">: garantir aux utilisateurs la continuité des services et des données ;</w:t>
      </w:r>
    </w:p>
    <w:p>
      <w:pPr>
        <w:numPr>
          <w:ilvl w:val="0"/>
          <w:numId w:val="1016"/>
        </w:numPr>
        <w:pStyle w:val="Compact"/>
      </w:pPr>
      <w:r>
        <w:rPr>
          <w:bCs/>
          <w:b/>
        </w:rPr>
        <w:t xml:space="preserve">Intégrité</w:t>
      </w:r>
      <w:r>
        <w:t xml:space="preserve"> </w:t>
      </w:r>
      <w:r>
        <w:t xml:space="preserve">: mettre à disposition des données exactes, dans les délais et les espaces prévus ;</w:t>
      </w:r>
    </w:p>
    <w:p>
      <w:pPr>
        <w:numPr>
          <w:ilvl w:val="0"/>
          <w:numId w:val="1016"/>
        </w:numPr>
        <w:pStyle w:val="Compact"/>
      </w:pPr>
      <w:r>
        <w:rPr>
          <w:bCs/>
          <w:b/>
        </w:rPr>
        <w:t xml:space="preserve">Confidentialité</w:t>
      </w:r>
      <w:r>
        <w:t xml:space="preserve"> </w:t>
      </w:r>
      <w:r>
        <w:t xml:space="preserve">: réserver l'accès aux données sensibles aux seules personnes autorisées ;</w:t>
      </w:r>
    </w:p>
    <w:p>
      <w:pPr>
        <w:numPr>
          <w:ilvl w:val="0"/>
          <w:numId w:val="1016"/>
        </w:numPr>
        <w:pStyle w:val="Compact"/>
      </w:pPr>
      <w:r>
        <w:rPr>
          <w:bCs/>
          <w:b/>
        </w:rPr>
        <w:t xml:space="preserve">Preuve</w:t>
      </w:r>
      <w:r>
        <w:t xml:space="preserve"> </w:t>
      </w:r>
      <w:r>
        <w:t xml:space="preserve">: garantir une traçabilité suffisante pour le contrôle et l'administration de la preuve.</w:t>
      </w:r>
    </w:p>
    <w:p>
      <w:pPr>
        <w:pStyle w:val="FirstParagraph"/>
      </w:pPr>
      <w:r>
        <w:t xml:space="preserve">Leur prise en compte suppose des processus, règles, normes, méthodes et procédures.</w:t>
      </w:r>
    </w:p>
    <w:bookmarkEnd w:id="36"/>
    <w:bookmarkStart w:id="37" w:name="disponibilité-au-sens-dicp"/>
    <w:p>
      <w:pPr>
        <w:pStyle w:val="Heading2"/>
      </w:pPr>
      <w:r>
        <w:t xml:space="preserve">5.4 Disponibilité au sens DICP</w:t>
      </w:r>
    </w:p>
    <w:p>
      <w:pPr>
        <w:pStyle w:val="FirstParagraph"/>
      </w:pPr>
      <w:r>
        <w:t xml:space="preserve">La stratégie est concernée par la nécessité :</w:t>
      </w:r>
    </w:p>
    <w:p>
      <w:pPr>
        <w:numPr>
          <w:ilvl w:val="0"/>
          <w:numId w:val="1017"/>
        </w:numPr>
        <w:pStyle w:val="Compact"/>
      </w:pPr>
      <w:r>
        <w:t xml:space="preserve">de garantir la récupération des données en cas d'incident ;</w:t>
      </w:r>
    </w:p>
    <w:p>
      <w:pPr>
        <w:numPr>
          <w:ilvl w:val="0"/>
          <w:numId w:val="1017"/>
        </w:numPr>
        <w:pStyle w:val="Compact"/>
      </w:pPr>
      <w:r>
        <w:t xml:space="preserve">de définir un nombre de copies de secours suffisant ;</w:t>
      </w:r>
    </w:p>
    <w:p>
      <w:pPr>
        <w:numPr>
          <w:ilvl w:val="0"/>
          <w:numId w:val="1017"/>
        </w:numPr>
        <w:pStyle w:val="Compact"/>
      </w:pPr>
      <w:r>
        <w:t xml:space="preserve">de tenir compte des performances des procédures de restauration.</w:t>
      </w:r>
    </w:p>
    <w:p>
      <w:pPr>
        <w:pStyle w:val="FirstParagraph"/>
      </w:pPr>
      <w:r>
        <w:t xml:space="preserve">En cas de sinistre, la disponibilité est qualifiée par la DMIA et la PDMA (§5.2).</w:t>
      </w:r>
    </w:p>
    <w:bookmarkEnd w:id="37"/>
    <w:bookmarkStart w:id="38" w:name="intégrité-au-sens-dicp"/>
    <w:p>
      <w:pPr>
        <w:pStyle w:val="Heading2"/>
      </w:pPr>
      <w:r>
        <w:t xml:space="preserve">5.5 Intégrité au sens DICP</w:t>
      </w:r>
    </w:p>
    <w:p>
      <w:pPr>
        <w:pStyle w:val="FirstParagraph"/>
      </w:pPr>
      <w:r>
        <w:t xml:space="preserve">La stratégie est concernée par la nécessité :</w:t>
      </w:r>
    </w:p>
    <w:p>
      <w:pPr>
        <w:numPr>
          <w:ilvl w:val="0"/>
          <w:numId w:val="1018"/>
        </w:numPr>
        <w:pStyle w:val="Compact"/>
      </w:pPr>
      <w:r>
        <w:t xml:space="preserve">de définir les sauvegardes en fonction des scénarios de perte d'intégrité ;</w:t>
      </w:r>
    </w:p>
    <w:p>
      <w:pPr>
        <w:numPr>
          <w:ilvl w:val="0"/>
          <w:numId w:val="1018"/>
        </w:numPr>
        <w:pStyle w:val="Compact"/>
      </w:pPr>
      <w:r>
        <w:t xml:space="preserve">de préserver l'intégrité des sauvegardes réalisées (contrôles d'intégrité, empreintes, immutabilité) ;</w:t>
      </w:r>
    </w:p>
    <w:p>
      <w:pPr>
        <w:numPr>
          <w:ilvl w:val="0"/>
          <w:numId w:val="1018"/>
        </w:numPr>
        <w:pStyle w:val="Compact"/>
      </w:pPr>
      <w:r>
        <w:t xml:space="preserve">de préserver l'intégrité des données pendant l'exécution des sauvegardes (cohérence applicative, §5.15).</w:t>
      </w:r>
    </w:p>
    <w:bookmarkEnd w:id="38"/>
    <w:bookmarkStart w:id="39" w:name="confidentialité-au-sens-dicp"/>
    <w:p>
      <w:pPr>
        <w:pStyle w:val="Heading2"/>
      </w:pPr>
      <w:r>
        <w:t xml:space="preserve">5.6 Confidentialité au sens DICP</w:t>
      </w:r>
    </w:p>
    <w:p>
      <w:pPr>
        <w:pStyle w:val="FirstParagraph"/>
      </w:pPr>
      <w:r>
        <w:t xml:space="preserve">La stratégie est concernée par la nécessité :</w:t>
      </w:r>
    </w:p>
    <w:p>
      <w:pPr>
        <w:numPr>
          <w:ilvl w:val="0"/>
          <w:numId w:val="1019"/>
        </w:numPr>
        <w:pStyle w:val="Compact"/>
      </w:pPr>
      <w:r>
        <w:t xml:space="preserve">d'appliquer aux données mortes un niveau de protection</w:t>
      </w:r>
      <w:r>
        <w:t xml:space="preserve"> </w:t>
      </w:r>
      <w:r>
        <w:rPr>
          <w:bCs/>
          <w:b/>
        </w:rPr>
        <w:t xml:space="preserve">au moins équivalent</w:t>
      </w:r>
      <w:r>
        <w:t xml:space="preserve"> </w:t>
      </w:r>
      <w:r>
        <w:t xml:space="preserve">à celui des données vivantes associées ;</w:t>
      </w:r>
    </w:p>
    <w:p>
      <w:pPr>
        <w:numPr>
          <w:ilvl w:val="0"/>
          <w:numId w:val="1019"/>
        </w:numPr>
        <w:pStyle w:val="Compact"/>
      </w:pPr>
      <w:r>
        <w:t xml:space="preserve">de chiffrer les sauvegardes externalisées ou isolées, avec des</w:t>
      </w:r>
      <w:r>
        <w:t xml:space="preserve"> </w:t>
      </w:r>
      <w:r>
        <w:rPr>
          <w:bCs/>
          <w:b/>
        </w:rPr>
        <w:t xml:space="preserve">clés gérées hors de l'infrastructure de sauvegarde</w:t>
      </w:r>
      <w:r>
        <w:t xml:space="preserve"> </w:t>
      </w:r>
      <w:r>
        <w:t xml:space="preserve">et elles-mêmes sauvegardées (séquestre) — sans quoi la perte du système de sauvegarde rend les copies illisibles.</w:t>
      </w:r>
    </w:p>
    <w:bookmarkEnd w:id="39"/>
    <w:bookmarkStart w:id="40" w:name="preuve-au-sens-dicp"/>
    <w:p>
      <w:pPr>
        <w:pStyle w:val="Heading2"/>
      </w:pPr>
      <w:r>
        <w:t xml:space="preserve">5.7 Preuve au sens DICP</w:t>
      </w:r>
    </w:p>
    <w:p>
      <w:pPr>
        <w:pStyle w:val="FirstParagraph"/>
      </w:pPr>
      <w:r>
        <w:t xml:space="preserve">La stratégie est concernée par la nécessité :</w:t>
      </w:r>
    </w:p>
    <w:p>
      <w:pPr>
        <w:numPr>
          <w:ilvl w:val="0"/>
          <w:numId w:val="1020"/>
        </w:numPr>
        <w:pStyle w:val="Compact"/>
      </w:pPr>
      <w:r>
        <w:t xml:space="preserve">de tracer exhaustivement les opérations de sauvegarde, pour identifier les écarts dus à des sauvegardes manquantes ou erronées ;</w:t>
      </w:r>
    </w:p>
    <w:p>
      <w:pPr>
        <w:numPr>
          <w:ilvl w:val="0"/>
          <w:numId w:val="1020"/>
        </w:numPr>
        <w:pStyle w:val="Compact"/>
      </w:pPr>
      <w:r>
        <w:t xml:space="preserve">de tracer exhaustivement les opérations de restauration, pour identifier les modifications apportées aux données vivantes ;</w:t>
      </w:r>
    </w:p>
    <w:p>
      <w:pPr>
        <w:numPr>
          <w:ilvl w:val="0"/>
          <w:numId w:val="1020"/>
        </w:numPr>
        <w:pStyle w:val="Compact"/>
      </w:pPr>
      <w:r>
        <w:t xml:space="preserve">de tracer les opérations d'administration sur l'infrastructure de sauvegarde (suppressions, modifications de rétention, changements de politique), qui sont des cibles privilégiées des attaquants.</w:t>
      </w:r>
    </w:p>
    <w:bookmarkEnd w:id="40"/>
    <w:bookmarkStart w:id="41" w:name="X1021679cb27332037bdf8e2142174f4b50c6621"/>
    <w:p>
      <w:pPr>
        <w:pStyle w:val="Heading2"/>
      </w:pPr>
      <w:r>
        <w:t xml:space="preserve">5.8 Environnement fonctionnel et environnement de sauvegarde</w:t>
      </w:r>
    </w:p>
    <w:p>
      <w:pPr>
        <w:pStyle w:val="FirstParagraph"/>
      </w:pPr>
      <w:r>
        <w:t xml:space="preserve">Toute donnée appartient à un environnement fonctionnel. Le SI de</w:t>
      </w:r>
      <w:r>
        <w:t xml:space="preserve"> </w:t>
      </w:r>
      <w:r>
        <w:rPr>
          <w:rStyle w:val="VerbatimChar"/>
          <w:b/>
          <w:color w:val="8A5A00"/>
        </w:rPr>
        <w:t xml:space="preserve">{{ORGANISATION}}</w:t>
      </w:r>
      <w:r>
        <w:t xml:space="preserve"> </w:t>
      </w:r>
      <w:r>
        <w:t xml:space="preserve">comprend</w:t>
      </w:r>
      <w:r>
        <w:t xml:space="preserve"> </w:t>
      </w:r>
      <w:r>
        <w:rPr>
          <w:rStyle w:val="VerbatimChar"/>
          <w:b/>
          <w:color w:val="8A5A00"/>
        </w:rPr>
        <w:t xml:space="preserve">{{N}}</w:t>
      </w:r>
      <w:r>
        <w:t xml:space="preserve"> </w:t>
      </w:r>
      <w:r>
        <w:t xml:space="preserve">environnements fonctionnels</w:t>
      </w:r>
      <w:r>
        <w:t xml:space="preserve"> </w:t>
      </w:r>
      <w:r>
        <w:rPr>
          <w:bCs/>
          <w:b/>
        </w:rPr>
        <w:t xml:space="preserve">[À COMPLÉTER]</w:t>
      </w:r>
      <w:r>
        <w:t xml:space="preserve">, chacun doté d'un niveau de criticité propre au regard des activités. L'environnement d'appartenance contribue donc à déterminer le niveau de sécurisation applicable.</w:t>
      </w:r>
    </w:p>
    <w:p>
      <w:pPr>
        <w:pStyle w:val="BodyText"/>
      </w:pPr>
      <w:r>
        <w:t xml:space="preserve">Pour simplifier l'administration de la sauvegarde, les environnements fonctionnels sont regroupés en</w:t>
      </w:r>
      <w:r>
        <w:t xml:space="preserve"> </w:t>
      </w:r>
      <w:r>
        <w:rPr>
          <w:bCs/>
          <w:b/>
        </w:rPr>
        <w:t xml:space="preserve">trois contextes</w:t>
      </w:r>
      <w:r>
        <w:t xml:space="preserve"> </w:t>
      </w:r>
      <w:r>
        <w:t xml:space="preserv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958"/>
        <w:gridCol w:w="6453"/>
      </w:tblGrid>
      <w:tr>
        <w:trPr>
          <w:tblHeader w:val="true"/>
          <w:tblHeader w:val="true"/>
          <w:cantSplit w:val="true"/>
        </w:trPr>
        <w:tc>
          <w:tcPr>
            <w:tcW w:w="2958" w:type="dxa"/>
            <w:shd w:val="clear" w:color="auto" w:fill="1F3A5F"/>
          </w:tcPr>
          <w:p>
            <w:pPr>
              <w:pStyle w:val="Compact"/>
              <w:spacing w:after="20" w:before="20"/>
              <w:jc w:val="left"/>
            </w:pPr>
            <w:r>
              <w:rPr>
                <w:b/>
                <w:color w:val="FFFFFF"/>
                <w:sz w:val="18"/>
              </w:rPr>
              <w:t xml:space="preserve">Contexte de sauvegarde</w:t>
            </w:r>
          </w:p>
        </w:tc>
        <w:tc>
          <w:tcPr>
            <w:tcW w:w="6453" w:type="dxa"/>
            <w:shd w:val="clear" w:color="auto" w:fill="1F3A5F"/>
          </w:tcPr>
          <w:p>
            <w:pPr>
              <w:pStyle w:val="Compact"/>
              <w:spacing w:after="20" w:before="20"/>
              <w:jc w:val="left"/>
            </w:pPr>
            <w:r>
              <w:rPr>
                <w:b/>
                <w:color w:val="FFFFFF"/>
                <w:sz w:val="18"/>
              </w:rPr>
              <w:t xml:space="preserve">Environnements fonctionnels inclus</w:t>
            </w:r>
          </w:p>
        </w:tc>
      </w:tr>
      <w:tr>
        <w:trPr>
          <w:cantSplit w:val="true"/>
        </w:trPr>
        <w:tc>
          <w:tcPr>
            <w:tcW w:w="2958" w:type="dxa"/>
          </w:tcPr>
          <w:p>
            <w:pPr>
              <w:pStyle w:val="Compact"/>
              <w:spacing w:after="20" w:before="20"/>
              <w:jc w:val="left"/>
            </w:pPr>
            <w:r>
              <w:rPr>
                <w:bCs/>
                <w:b/>
                <w:sz w:val="18"/>
              </w:rPr>
              <w:t xml:space="preserve">Production</w:t>
            </w:r>
          </w:p>
        </w:tc>
        <w:tc>
          <w:tcPr>
            <w:tcW w:w="6453" w:type="dxa"/>
          </w:tcPr>
          <w:p>
            <w:pPr>
              <w:pStyle w:val="Compact"/>
              <w:spacing w:after="20" w:before="20"/>
              <w:jc w:val="left"/>
            </w:pPr>
            <w:r>
              <w:rPr>
                <w:sz w:val="18"/>
              </w:rPr>
              <w:t xml:space="preserve">Production, Infrastructure, Formation</w:t>
            </w:r>
          </w:p>
        </w:tc>
      </w:tr>
      <w:tr>
        <w:trPr>
          <w:cantSplit w:val="true"/>
        </w:trPr>
        <w:tc>
          <w:tcPr>
            <w:tcW w:w="2958" w:type="dxa"/>
            <w:shd w:val="clear" w:color="auto" w:fill="EEF2F6"/>
          </w:tcPr>
          <w:p>
            <w:pPr>
              <w:pStyle w:val="Compact"/>
              <w:spacing w:after="20" w:before="20"/>
              <w:jc w:val="left"/>
            </w:pPr>
            <w:r>
              <w:rPr>
                <w:bCs/>
                <w:b/>
                <w:sz w:val="18"/>
              </w:rPr>
              <w:t xml:space="preserve">Pré-production</w:t>
            </w:r>
          </w:p>
        </w:tc>
        <w:tc>
          <w:tcPr>
            <w:tcW w:w="6453" w:type="dxa"/>
            <w:shd w:val="clear" w:color="auto" w:fill="EEF2F6"/>
          </w:tcPr>
          <w:p>
            <w:pPr>
              <w:pStyle w:val="Compact"/>
              <w:spacing w:after="20" w:before="20"/>
              <w:jc w:val="left"/>
            </w:pPr>
            <w:r>
              <w:rPr>
                <w:sz w:val="18"/>
              </w:rPr>
              <w:t xml:space="preserve">Qualification, Pré-production</w:t>
            </w:r>
          </w:p>
        </w:tc>
      </w:tr>
      <w:tr>
        <w:trPr>
          <w:cantSplit w:val="true"/>
        </w:trPr>
        <w:tc>
          <w:tcPr>
            <w:tcW w:w="2958" w:type="dxa"/>
          </w:tcPr>
          <w:p>
            <w:pPr>
              <w:pStyle w:val="Compact"/>
              <w:spacing w:after="20" w:before="20"/>
              <w:jc w:val="left"/>
            </w:pPr>
            <w:r>
              <w:rPr>
                <w:bCs/>
                <w:b/>
                <w:sz w:val="18"/>
              </w:rPr>
              <w:t xml:space="preserve">Hors production</w:t>
            </w:r>
          </w:p>
        </w:tc>
        <w:tc>
          <w:tcPr>
            <w:tcW w:w="6453" w:type="dxa"/>
          </w:tcPr>
          <w:p>
            <w:pPr>
              <w:pStyle w:val="Compact"/>
              <w:spacing w:after="20" w:before="20"/>
              <w:jc w:val="left"/>
            </w:pPr>
            <w:r>
              <w:rPr>
                <w:sz w:val="18"/>
              </w:rPr>
              <w:t xml:space="preserve">Tous les autres (développement, recette, tests…)</w:t>
            </w:r>
          </w:p>
        </w:tc>
      </w:tr>
    </w:tbl>
    <w:p>
      <w:pPr>
        <w:pStyle w:val="BlockText"/>
      </w:pPr>
      <w:r>
        <w:t xml:space="preserve">Dans la suite du document,</w:t>
      </w:r>
      <w:r>
        <w:t xml:space="preserve"> </w:t>
      </w:r>
      <w:r>
        <w:rPr>
          <w:bCs/>
          <w:b/>
        </w:rPr>
        <w:t xml:space="preserve">PROD</w:t>
      </w:r>
      <w:r>
        <w:t xml:space="preserve"> </w:t>
      </w:r>
      <w:r>
        <w:t xml:space="preserve">désigne les environnements du contexte « Production » ;</w:t>
      </w:r>
      <w:r>
        <w:t xml:space="preserve"> </w:t>
      </w:r>
      <w:r>
        <w:rPr>
          <w:bCs/>
          <w:b/>
        </w:rPr>
        <w:t xml:space="preserve">Hors PROD</w:t>
      </w:r>
      <w:r>
        <w:t xml:space="preserve"> </w:t>
      </w:r>
      <w:r>
        <w:t xml:space="preserve">désigne tous les autres.</w:t>
      </w:r>
    </w:p>
    <w:bookmarkEnd w:id="41"/>
    <w:bookmarkStart w:id="42" w:name="flux-entrants-et-flux-sortants"/>
    <w:p>
      <w:pPr>
        <w:pStyle w:val="Heading2"/>
      </w:pPr>
      <w:r>
        <w:t xml:space="preserve">5.9 Flux entrants et flux sortants</w:t>
      </w:r>
    </w:p>
    <w:p>
      <w:pPr>
        <w:numPr>
          <w:ilvl w:val="0"/>
          <w:numId w:val="1021"/>
        </w:numPr>
        <w:pStyle w:val="Compact"/>
      </w:pPr>
      <w:r>
        <w:rPr>
          <w:bCs/>
          <w:b/>
        </w:rPr>
        <w:t xml:space="preserve">Flux entrants</w:t>
      </w:r>
      <w:r>
        <w:t xml:space="preserve"> </w:t>
      </w:r>
      <w:r>
        <w:t xml:space="preserve">: données reçues de SI externes à</w:t>
      </w:r>
      <w:r>
        <w:t xml:space="preserve"> </w:t>
      </w:r>
      <w:r>
        <w:rPr>
          <w:rStyle w:val="VerbatimChar"/>
          <w:b/>
          <w:color w:val="8A5A00"/>
        </w:rPr>
        <w:t xml:space="preserve">{{ORGANISATION}}</w:t>
      </w:r>
      <w:r>
        <w:t xml:space="preserve">.</w:t>
      </w:r>
    </w:p>
    <w:p>
      <w:pPr>
        <w:numPr>
          <w:ilvl w:val="0"/>
          <w:numId w:val="1021"/>
        </w:numPr>
        <w:pStyle w:val="Compact"/>
      </w:pPr>
      <w:r>
        <w:rPr>
          <w:bCs/>
          <w:b/>
        </w:rPr>
        <w:t xml:space="preserve">Flux sortants</w:t>
      </w:r>
      <w:r>
        <w:t xml:space="preserve"> </w:t>
      </w:r>
      <w:r>
        <w:t xml:space="preserve">: données émises vers des SI externes.</w:t>
      </w:r>
    </w:p>
    <w:p>
      <w:pPr>
        <w:pStyle w:val="FirstParagraph"/>
      </w:pPr>
      <w:r>
        <w:t xml:space="preserve">Pour se prémunir en cas de litige avec un partenaire ou un client émetteur ou destinataire, il est indispensable de sauvegarder :</w:t>
      </w:r>
    </w:p>
    <w:p>
      <w:pPr>
        <w:numPr>
          <w:ilvl w:val="0"/>
          <w:numId w:val="1022"/>
        </w:numPr>
        <w:pStyle w:val="Compact"/>
      </w:pPr>
      <w:r>
        <w:t xml:space="preserve">les données reçues,</w:t>
      </w:r>
      <w:r>
        <w:t xml:space="preserve"> </w:t>
      </w:r>
      <w:r>
        <w:rPr>
          <w:bCs/>
          <w:b/>
        </w:rPr>
        <w:t xml:space="preserve">dès réception et avant toute utilisation</w:t>
      </w:r>
      <w:r>
        <w:t xml:space="preserve"> </w:t>
      </w:r>
      <w:r>
        <w:t xml:space="preserve">dans le SI ;</w:t>
      </w:r>
    </w:p>
    <w:p>
      <w:pPr>
        <w:numPr>
          <w:ilvl w:val="0"/>
          <w:numId w:val="1022"/>
        </w:numPr>
        <w:pStyle w:val="Compact"/>
      </w:pPr>
      <w:r>
        <w:t xml:space="preserve">les données émises,</w:t>
      </w:r>
      <w:r>
        <w:t xml:space="preserve"> </w:t>
      </w:r>
      <w:r>
        <w:rPr>
          <w:bCs/>
          <w:b/>
        </w:rPr>
        <w:t xml:space="preserve">juste avant leur envoi</w:t>
      </w:r>
      <w:r>
        <w:t xml:space="preserve">.</w:t>
      </w:r>
    </w:p>
    <w:p>
      <w:pPr>
        <w:pStyle w:val="FirstParagraph"/>
      </w:pPr>
      <w:r>
        <w:t xml:space="preserve">Ces sauvegardes sont restaurées :</w:t>
      </w:r>
    </w:p>
    <w:p>
      <w:pPr>
        <w:numPr>
          <w:ilvl w:val="0"/>
          <w:numId w:val="1023"/>
        </w:numPr>
        <w:pStyle w:val="Compact"/>
      </w:pPr>
      <w:r>
        <w:t xml:space="preserve">en cas de litige ;</w:t>
      </w:r>
    </w:p>
    <w:p>
      <w:pPr>
        <w:numPr>
          <w:ilvl w:val="0"/>
          <w:numId w:val="1023"/>
        </w:numPr>
        <w:pStyle w:val="Compact"/>
      </w:pPr>
      <w:r>
        <w:t xml:space="preserve">en cas de sinistre, pour reconstituer les données perdues (§5.20).</w:t>
      </w:r>
    </w:p>
    <w:bookmarkEnd w:id="42"/>
    <w:bookmarkStart w:id="43" w:name="sauvegarde-des-données"/>
    <w:p>
      <w:pPr>
        <w:pStyle w:val="Heading2"/>
      </w:pPr>
      <w:r>
        <w:t xml:space="preserve">5.10 Sauvegarde des données</w:t>
      </w:r>
    </w:p>
    <w:p>
      <w:pPr>
        <w:pStyle w:val="FirstParagraph"/>
      </w:pPr>
      <w:r>
        <w:t xml:space="preserve">La sauvegarde (prise d'image des données), associée à la restauration (restitution non altérante), est un procédé de sécurisation visant à supprimer ou réduire les conséquences d'un incident technique ou d'un dysfonctionnement applicatif, volontaire ou non, détecté immédiatement ou non.</w:t>
      </w:r>
    </w:p>
    <w:p>
      <w:pPr>
        <w:pStyle w:val="BodyText"/>
      </w:pPr>
      <w:r>
        <w:t xml:space="preserve">Le choix du type de sauvegarde dépend de trois critères :</w:t>
      </w:r>
    </w:p>
    <w:p>
      <w:pPr>
        <w:numPr>
          <w:ilvl w:val="0"/>
          <w:numId w:val="1024"/>
        </w:numPr>
        <w:pStyle w:val="Compact"/>
      </w:pPr>
      <w:r>
        <w:rPr>
          <w:bCs/>
          <w:b/>
        </w:rPr>
        <w:t xml:space="preserve">Le type d'incident à couvrir</w:t>
      </w:r>
      <w:r>
        <w:t xml:space="preserve"> </w:t>
      </w:r>
      <w:r>
        <w:t xml:space="preserve">: erreur humaine ou malveillance ; sinistre matériel ou immatériel ; incident diffus ou local ; corruption de données ; infection par un logiciel malveillant.</w:t>
      </w:r>
    </w:p>
    <w:p>
      <w:pPr>
        <w:numPr>
          <w:ilvl w:val="0"/>
          <w:numId w:val="1024"/>
        </w:numPr>
        <w:pStyle w:val="Compact"/>
      </w:pPr>
      <w:r>
        <w:rPr>
          <w:bCs/>
          <w:b/>
        </w:rPr>
        <w:t xml:space="preserve">Les objectifs de disponibilité</w:t>
      </w:r>
      <w:r>
        <w:t xml:space="preserve"> </w:t>
      </w:r>
      <w:r>
        <w:t xml:space="preserve">: DMIA, PDMA, critères D et I au sens DICP.</w:t>
      </w:r>
    </w:p>
    <w:p>
      <w:pPr>
        <w:numPr>
          <w:ilvl w:val="0"/>
          <w:numId w:val="1024"/>
        </w:numPr>
        <w:pStyle w:val="Compact"/>
      </w:pPr>
      <w:r>
        <w:rPr>
          <w:bCs/>
          <w:b/>
        </w:rPr>
        <w:t xml:space="preserve">La performance de l'infrastructure disponible</w:t>
      </w:r>
      <w:r>
        <w:t xml:space="preserve"> </w:t>
      </w:r>
      <w:r>
        <w:t xml:space="preserve">: technologies et supports de stockage (disques, baies, bandes, librairies, stockage objet, fichiers séquentiels, bases de données…).</w:t>
      </w:r>
    </w:p>
    <w:p>
      <w:pPr>
        <w:pStyle w:val="FirstParagraph"/>
      </w:pPr>
      <w:r>
        <w:t xml:space="preserve">La combinaison de ces critères conduit généralement à mettre en œuvre</w:t>
      </w:r>
      <w:r>
        <w:t xml:space="preserve"> </w:t>
      </w:r>
      <w:r>
        <w:rPr>
          <w:bCs/>
          <w:b/>
        </w:rPr>
        <w:t xml:space="preserve">plusieurs sauvegardes pour une même donnée</w:t>
      </w:r>
      <w:r>
        <w:t xml:space="preserve">.</w:t>
      </w:r>
    </w:p>
    <w:bookmarkEnd w:id="43"/>
    <w:bookmarkStart w:id="44" w:name="types-de-sauvegarde"/>
    <w:p>
      <w:pPr>
        <w:pStyle w:val="Heading2"/>
      </w:pPr>
      <w:r>
        <w:t xml:space="preserve">5.11 Types de sauvegarde</w:t>
      </w:r>
    </w:p>
    <w:p>
      <w:pPr>
        <w:pStyle w:val="FirstParagraph"/>
      </w:pPr>
      <w:r>
        <w:t xml:space="preserve">Principaux types : complète (</w:t>
      </w:r>
      <w:r>
        <w:rPr>
          <w:iCs/>
          <w:i/>
        </w:rPr>
        <w:t xml:space="preserve">full</w:t>
      </w:r>
      <w:r>
        <w:t xml:space="preserve">), différentielle, incrémentale, par journalisation (</w:t>
      </w:r>
      <w:r>
        <w:rPr>
          <w:iCs/>
          <w:i/>
        </w:rPr>
        <w:t xml:space="preserve">logging</w:t>
      </w:r>
      <w:r>
        <w:t xml:space="preserve">), par réplication, par clonage, par instantané (</w:t>
      </w:r>
      <w:r>
        <w:rPr>
          <w:iCs/>
          <w:i/>
        </w:rPr>
        <w:t xml:space="preserve">snapshot</w:t>
      </w:r>
      <w:r>
        <w:t xml:space="preserve">). Leurs caractéristiques sont détaillées en Annexe C.</w:t>
      </w:r>
    </w:p>
    <w:bookmarkEnd w:id="44"/>
    <w:bookmarkStart w:id="45" w:name="dispositifs-actif-actif-et-actif-passif"/>
    <w:p>
      <w:pPr>
        <w:pStyle w:val="Heading2"/>
      </w:pPr>
      <w:r>
        <w:t xml:space="preserve">5.12 Dispositifs actif-actif et actif-passif</w:t>
      </w:r>
    </w:p>
    <w:p>
      <w:pPr>
        <w:pStyle w:val="FirstParagraph"/>
      </w:pPr>
      <w:r>
        <w:t xml:space="preserve">Dispositifs de haute disponibilité des équipements (serveurs, stockage) fondés sur le basculement d'un équipement défaillant vers un autre. Ils garantissent une PDMA nulle</w:t>
      </w:r>
      <w:r>
        <w:t xml:space="preserve"> </w:t>
      </w:r>
      <w:r>
        <w:rPr>
          <w:bCs/>
          <w:b/>
        </w:rPr>
        <w:t xml:space="preserve">face à une panne physique</w:t>
      </w:r>
      <w:r>
        <w:t xml:space="preserve"> </w:t>
      </w:r>
      <w:r>
        <w:t xml:space="preserve">— pas face à une corruption logique, qui est répliquée.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1428"/>
        <w:gridCol w:w="3031"/>
        <w:gridCol w:w="1872"/>
        <w:gridCol w:w="3079"/>
      </w:tblGrid>
      <w:tr>
        <w:trPr>
          <w:tblHeader w:val="true"/>
          <w:tblHeader w:val="true"/>
          <w:cantSplit w:val="true"/>
        </w:trPr>
        <w:tc>
          <w:tcPr>
            <w:tcW w:w="1428" w:type="dxa"/>
            <w:shd w:val="clear" w:color="auto" w:fill="1F3A5F"/>
          </w:tcPr>
          <w:p>
            <w:pPr>
              <w:pStyle w:val="Compact"/>
              <w:spacing w:after="20" w:before="20"/>
              <w:jc w:val="left"/>
            </w:pPr>
            <w:r>
              <w:rPr>
                <w:b/>
                <w:color w:val="FFFFFF"/>
                <w:sz w:val="18"/>
              </w:rPr>
              <w:t xml:space="preserve">Mode</w:t>
            </w:r>
          </w:p>
        </w:tc>
        <w:tc>
          <w:tcPr>
            <w:tcW w:w="3031" w:type="dxa"/>
            <w:shd w:val="clear" w:color="auto" w:fill="1F3A5F"/>
          </w:tcPr>
          <w:p>
            <w:pPr>
              <w:pStyle w:val="Compact"/>
              <w:spacing w:after="20" w:before="20"/>
              <w:jc w:val="left"/>
            </w:pPr>
            <w:r>
              <w:rPr>
                <w:b/>
                <w:color w:val="FFFFFF"/>
                <w:sz w:val="18"/>
              </w:rPr>
              <w:t xml:space="preserve">Principe</w:t>
            </w:r>
          </w:p>
        </w:tc>
        <w:tc>
          <w:tcPr>
            <w:tcW w:w="1872" w:type="dxa"/>
            <w:shd w:val="clear" w:color="auto" w:fill="1F3A5F"/>
          </w:tcPr>
          <w:p>
            <w:pPr>
              <w:pStyle w:val="Compact"/>
              <w:spacing w:after="20" w:before="20"/>
              <w:jc w:val="left"/>
            </w:pPr>
            <w:r>
              <w:rPr>
                <w:b/>
                <w:color w:val="FFFFFF"/>
                <w:sz w:val="18"/>
              </w:rPr>
              <w:t xml:space="preserve">Basculement</w:t>
            </w:r>
          </w:p>
        </w:tc>
        <w:tc>
          <w:tcPr>
            <w:tcW w:w="3079" w:type="dxa"/>
            <w:shd w:val="clear" w:color="auto" w:fill="1F3A5F"/>
          </w:tcPr>
          <w:p>
            <w:pPr>
              <w:pStyle w:val="Compact"/>
              <w:spacing w:after="20" w:before="20"/>
              <w:jc w:val="left"/>
            </w:pPr>
            <w:r>
              <w:rPr>
                <w:b/>
                <w:color w:val="FFFFFF"/>
                <w:sz w:val="18"/>
              </w:rPr>
              <w:t xml:space="preserve">Effet sur la DMIA</w:t>
            </w:r>
          </w:p>
        </w:tc>
      </w:tr>
      <w:tr>
        <w:trPr>
          <w:cantSplit w:val="true"/>
        </w:trPr>
        <w:tc>
          <w:tcPr>
            <w:tcW w:w="1428" w:type="dxa"/>
          </w:tcPr>
          <w:p>
            <w:pPr>
              <w:pStyle w:val="Compact"/>
              <w:spacing w:after="20" w:before="20"/>
              <w:jc w:val="left"/>
            </w:pPr>
            <w:r>
              <w:rPr>
                <w:bCs/>
                <w:b/>
                <w:sz w:val="18"/>
              </w:rPr>
              <w:t xml:space="preserve">Actif-actif</w:t>
            </w:r>
          </w:p>
        </w:tc>
        <w:tc>
          <w:tcPr>
            <w:tcW w:w="3031" w:type="dxa"/>
          </w:tcPr>
          <w:p>
            <w:pPr>
              <w:pStyle w:val="Compact"/>
              <w:spacing w:after="20" w:before="20"/>
              <w:jc w:val="left"/>
            </w:pPr>
            <w:r>
              <w:rPr>
                <w:sz w:val="18"/>
              </w:rPr>
              <w:t xml:space="preserve">Répartition de charge</w:t>
            </w:r>
          </w:p>
        </w:tc>
        <w:tc>
          <w:tcPr>
            <w:tcW w:w="1872" w:type="dxa"/>
          </w:tcPr>
          <w:p>
            <w:pPr>
              <w:pStyle w:val="Compact"/>
              <w:spacing w:after="20" w:before="20"/>
              <w:jc w:val="left"/>
            </w:pPr>
            <w:r>
              <w:rPr>
                <w:sz w:val="18"/>
              </w:rPr>
              <w:t xml:space="preserve">Sans intervention humaine</w:t>
            </w:r>
          </w:p>
        </w:tc>
        <w:tc>
          <w:tcPr>
            <w:tcW w:w="3079" w:type="dxa"/>
          </w:tcPr>
          <w:p>
            <w:pPr>
              <w:pStyle w:val="Compact"/>
              <w:spacing w:after="20" w:before="20"/>
              <w:jc w:val="left"/>
            </w:pPr>
            <w:r>
              <w:rPr>
                <w:sz w:val="18"/>
              </w:rPr>
              <w:t xml:space="preserve">Temps de bascule considéré comme nul</w:t>
            </w:r>
          </w:p>
        </w:tc>
      </w:tr>
      <w:tr>
        <w:trPr>
          <w:cantSplit w:val="true"/>
        </w:trPr>
        <w:tc>
          <w:tcPr>
            <w:tcW w:w="1428" w:type="dxa"/>
            <w:shd w:val="clear" w:color="auto" w:fill="EEF2F6"/>
          </w:tcPr>
          <w:p>
            <w:pPr>
              <w:pStyle w:val="Compact"/>
              <w:spacing w:after="20" w:before="20"/>
              <w:jc w:val="left"/>
            </w:pPr>
            <w:r>
              <w:rPr>
                <w:bCs/>
                <w:b/>
                <w:sz w:val="18"/>
              </w:rPr>
              <w:t xml:space="preserve">Actif-passif</w:t>
            </w:r>
          </w:p>
        </w:tc>
        <w:tc>
          <w:tcPr>
            <w:tcW w:w="3031" w:type="dxa"/>
            <w:shd w:val="clear" w:color="auto" w:fill="EEF2F6"/>
          </w:tcPr>
          <w:p>
            <w:pPr>
              <w:pStyle w:val="Compact"/>
              <w:spacing w:after="20" w:before="20"/>
              <w:jc w:val="left"/>
            </w:pPr>
            <w:r>
              <w:rPr>
                <w:sz w:val="18"/>
              </w:rPr>
              <w:t xml:space="preserve">Équipement secondaire en veille tant que le primaire fonctionne</w:t>
            </w:r>
          </w:p>
        </w:tc>
        <w:tc>
          <w:tcPr>
            <w:tcW w:w="1872" w:type="dxa"/>
            <w:shd w:val="clear" w:color="auto" w:fill="EEF2F6"/>
          </w:tcPr>
          <w:p>
            <w:pPr>
              <w:pStyle w:val="Compact"/>
              <w:spacing w:after="20" w:before="20"/>
              <w:jc w:val="left"/>
            </w:pPr>
            <w:r>
              <w:rPr>
                <w:sz w:val="18"/>
              </w:rPr>
              <w:t xml:space="preserve">Automatisé avec approbation humaine</w:t>
            </w:r>
          </w:p>
        </w:tc>
        <w:tc>
          <w:tcPr>
            <w:tcW w:w="3079" w:type="dxa"/>
            <w:shd w:val="clear" w:color="auto" w:fill="EEF2F6"/>
          </w:tcPr>
          <w:p>
            <w:pPr>
              <w:pStyle w:val="Compact"/>
              <w:spacing w:after="20" w:before="20"/>
              <w:jc w:val="left"/>
            </w:pPr>
            <w:r>
              <w:rPr>
                <w:sz w:val="18"/>
              </w:rPr>
              <w:t xml:space="preserve">Inférieur à une restauration ou une reconstruction classique</w:t>
            </w:r>
          </w:p>
        </w:tc>
      </w:tr>
    </w:tbl>
    <w:bookmarkEnd w:id="45"/>
    <w:bookmarkStart w:id="46" w:name="caractéristiques-des-sauvegardes"/>
    <w:p>
      <w:pPr>
        <w:pStyle w:val="Heading2"/>
      </w:pPr>
      <w:r>
        <w:t xml:space="preserve">5.13 Caractéristiques des sauvegardes</w:t>
      </w:r>
    </w:p>
    <w:p>
      <w:pPr>
        <w:pStyle w:val="FirstParagraph"/>
      </w:pPr>
      <w:r>
        <w:t xml:space="preserve">Toute sauvegarde est caractérisée a minima par :</w:t>
      </w:r>
    </w:p>
    <w:p>
      <w:pPr>
        <w:numPr>
          <w:ilvl w:val="0"/>
          <w:numId w:val="1025"/>
        </w:numPr>
        <w:pStyle w:val="Compact"/>
      </w:pPr>
      <w:r>
        <w:rPr>
          <w:bCs/>
          <w:b/>
        </w:rPr>
        <w:t xml:space="preserve">Sa fréquence</w:t>
      </w:r>
      <w:r>
        <w:t xml:space="preserve"> </w:t>
      </w:r>
      <w:r>
        <w:t xml:space="preserve">: délai prévu entre deux sauvegardes consécutives d'un même ensemble de données.</w:t>
      </w:r>
    </w:p>
    <w:p>
      <w:pPr>
        <w:numPr>
          <w:ilvl w:val="1"/>
          <w:numId w:val="1026"/>
        </w:numPr>
        <w:pStyle w:val="Compact"/>
      </w:pPr>
      <w:r>
        <w:t xml:space="preserve">Fréquence périodique : sauvegarde quotidienne, hebdomadaire, mensuelle, annuelle.</w:t>
      </w:r>
    </w:p>
    <w:p>
      <w:pPr>
        <w:numPr>
          <w:ilvl w:val="1"/>
          <w:numId w:val="1026"/>
        </w:numPr>
        <w:pStyle w:val="Compact"/>
      </w:pPr>
      <w:r>
        <w:t xml:space="preserve">Sauvegarde à la demande : pour sécuriser un événement (migration, changement d'environnement, image post-correction d'incident).</w:t>
      </w:r>
    </w:p>
    <w:p>
      <w:pPr>
        <w:numPr>
          <w:ilvl w:val="1"/>
          <w:numId w:val="1026"/>
        </w:numPr>
        <w:pStyle w:val="Compact"/>
      </w:pPr>
      <w:r>
        <w:t xml:space="preserve">Fréquence liée au changement d'état de la donnée : sauvegarde dite synchrone, équivalente à une redondance.</w:t>
      </w:r>
    </w:p>
    <w:p>
      <w:pPr>
        <w:numPr>
          <w:ilvl w:val="0"/>
          <w:numId w:val="1025"/>
        </w:numPr>
        <w:pStyle w:val="Compact"/>
      </w:pPr>
      <w:r>
        <w:rPr>
          <w:bCs/>
          <w:b/>
        </w:rPr>
        <w:t xml:space="preserve">Son nombre de versions</w:t>
      </w:r>
      <w:r>
        <w:t xml:space="preserve"> </w:t>
      </w:r>
      <w:r>
        <w:t xml:space="preserve">: nombre d'images distinctes disponibles en fonctionnement nominal.</w:t>
      </w:r>
    </w:p>
    <w:p>
      <w:pPr>
        <w:numPr>
          <w:ilvl w:val="1"/>
          <w:numId w:val="1027"/>
        </w:numPr>
        <w:pStyle w:val="Compact"/>
      </w:pPr>
      <w:r>
        <w:t xml:space="preserve">⚠ Après résolution d'un incident, l'image doit être prise par une</w:t>
      </w:r>
      <w:r>
        <w:t xml:space="preserve"> </w:t>
      </w:r>
      <w:r>
        <w:rPr>
          <w:bCs/>
          <w:b/>
        </w:rPr>
        <w:t xml:space="preserve">procédure spécifique</w:t>
      </w:r>
      <w:r>
        <w:t xml:space="preserve"> </w:t>
      </w:r>
      <w:r>
        <w:t xml:space="preserve">et non par une procédure périodique, afin de ne pas réduire l'âge maximal des images ni le nombre de versions disponibles.</w:t>
      </w:r>
    </w:p>
    <w:p>
      <w:pPr>
        <w:numPr>
          <w:ilvl w:val="0"/>
          <w:numId w:val="1025"/>
        </w:numPr>
        <w:pStyle w:val="Compact"/>
      </w:pPr>
      <w:r>
        <w:rPr>
          <w:bCs/>
          <w:b/>
        </w:rPr>
        <w:t xml:space="preserve">Sa durée de rétention.</w:t>
      </w:r>
    </w:p>
    <w:p>
      <w:pPr>
        <w:pStyle w:val="BlockText"/>
      </w:pPr>
      <w:r>
        <w:rPr>
          <w:bCs/>
          <w:b/>
        </w:rPr>
        <w:t xml:space="preserve">La durée de rétention</w:t>
      </w:r>
      <w:r>
        <w:t xml:space="preserve"> </w:t>
      </w:r>
      <w:r>
        <w:t xml:space="preserve">est la durée de conservation maximale d'une donnée morte, égale au produit de la fréquence par le nombre de versions. La destruction de la donnée d'origine n'entraîne pas la destruction de ses sauvegardes, qui sont détruites à l'expiration de leur rétention.</w:t>
      </w:r>
    </w:p>
    <w:p>
      <w:pPr>
        <w:pStyle w:val="FirstParagraph"/>
      </w:pPr>
      <w:r>
        <w:rPr>
          <w:bCs/>
          <w:b/>
        </w:rPr>
        <w:t xml:space="preserve">Exemple de schéma de rétention (valeurs d'illustration [À VALIDER])</w:t>
      </w:r>
    </w:p>
    <w:p>
      <w:pPr>
        <w:pStyle w:val="BodyText"/>
      </w:pPr>
      <w:r>
        <w:t xml:space="preserve">Exemple construit sur celui que donne le guide de l'ANSSI « Sauvegarde des systèmes d'information — les fondamentaux » (15 jours de quotidiennes, 1 an de mensuelles, 5 ans d'annuelles), complété d'un niveau hebdomadaire :</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1911"/>
        <w:gridCol w:w="2461"/>
        <w:gridCol w:w="1274"/>
        <w:gridCol w:w="3764"/>
      </w:tblGrid>
      <w:tr>
        <w:trPr>
          <w:tblHeader w:val="true"/>
          <w:tblHeader w:val="true"/>
          <w:cantSplit w:val="true"/>
        </w:trPr>
        <w:tc>
          <w:tcPr>
            <w:tcW w:w="1911" w:type="dxa"/>
            <w:shd w:val="clear" w:color="auto" w:fill="1F3A5F"/>
          </w:tcPr>
          <w:p>
            <w:pPr>
              <w:pStyle w:val="Compact"/>
              <w:spacing w:after="20" w:before="20"/>
              <w:jc w:val="left"/>
            </w:pPr>
            <w:r>
              <w:rPr>
                <w:b/>
                <w:color w:val="FFFFFF"/>
                <w:sz w:val="18"/>
              </w:rPr>
              <w:t xml:space="preserve">Sauvegarde</w:t>
            </w:r>
          </w:p>
        </w:tc>
        <w:tc>
          <w:tcPr>
            <w:tcW w:w="2461" w:type="dxa"/>
            <w:shd w:val="clear" w:color="auto" w:fill="1F3A5F"/>
          </w:tcPr>
          <w:p>
            <w:pPr>
              <w:pStyle w:val="Compact"/>
              <w:spacing w:after="20" w:before="20"/>
              <w:jc w:val="left"/>
            </w:pPr>
            <w:r>
              <w:rPr>
                <w:b/>
                <w:color w:val="FFFFFF"/>
                <w:sz w:val="18"/>
              </w:rPr>
              <w:t xml:space="preserve">Fréquence (jours)</w:t>
            </w:r>
          </w:p>
        </w:tc>
        <w:tc>
          <w:tcPr>
            <w:tcW w:w="1274" w:type="dxa"/>
            <w:shd w:val="clear" w:color="auto" w:fill="1F3A5F"/>
          </w:tcPr>
          <w:p>
            <w:pPr>
              <w:pStyle w:val="Compact"/>
              <w:spacing w:after="20" w:before="20"/>
              <w:jc w:val="left"/>
            </w:pPr>
            <w:r>
              <w:rPr>
                <w:b/>
                <w:color w:val="FFFFFF"/>
                <w:sz w:val="18"/>
              </w:rPr>
              <w:t xml:space="preserve">Versions</w:t>
            </w:r>
          </w:p>
        </w:tc>
        <w:tc>
          <w:tcPr>
            <w:tcW w:w="3764" w:type="dxa"/>
            <w:shd w:val="clear" w:color="auto" w:fill="1F3A5F"/>
          </w:tcPr>
          <w:p>
            <w:pPr>
              <w:pStyle w:val="Compact"/>
              <w:spacing w:after="20" w:before="20"/>
              <w:jc w:val="left"/>
            </w:pPr>
            <w:r>
              <w:rPr>
                <w:b/>
                <w:color w:val="FFFFFF"/>
                <w:sz w:val="18"/>
              </w:rPr>
              <w:t xml:space="preserve">Rétention maximale (jours)</w:t>
            </w:r>
          </w:p>
        </w:tc>
      </w:tr>
      <w:tr>
        <w:trPr>
          <w:cantSplit w:val="true"/>
        </w:trPr>
        <w:tc>
          <w:tcPr>
            <w:tcW w:w="1911" w:type="dxa"/>
          </w:tcPr>
          <w:p>
            <w:pPr>
              <w:pStyle w:val="Compact"/>
              <w:spacing w:after="20" w:before="20"/>
              <w:jc w:val="left"/>
            </w:pPr>
            <w:r>
              <w:rPr>
                <w:sz w:val="18"/>
              </w:rPr>
              <w:t xml:space="preserve">Quotidienne</w:t>
            </w:r>
          </w:p>
        </w:tc>
        <w:tc>
          <w:tcPr>
            <w:tcW w:w="2461" w:type="dxa"/>
          </w:tcPr>
          <w:p>
            <w:pPr>
              <w:pStyle w:val="Compact"/>
              <w:spacing w:after="20" w:before="20"/>
              <w:jc w:val="left"/>
            </w:pPr>
            <w:r>
              <w:rPr>
                <w:sz w:val="18"/>
              </w:rPr>
              <w:t xml:space="preserve">1</w:t>
            </w:r>
          </w:p>
        </w:tc>
        <w:tc>
          <w:tcPr>
            <w:tcW w:w="1274" w:type="dxa"/>
          </w:tcPr>
          <w:p>
            <w:pPr>
              <w:pStyle w:val="Compact"/>
              <w:spacing w:after="20" w:before="20"/>
              <w:jc w:val="left"/>
            </w:pPr>
            <w:r>
              <w:rPr>
                <w:sz w:val="18"/>
              </w:rPr>
              <w:t xml:space="preserve">15</w:t>
            </w:r>
          </w:p>
        </w:tc>
        <w:tc>
          <w:tcPr>
            <w:tcW w:w="3764" w:type="dxa"/>
          </w:tcPr>
          <w:p>
            <w:pPr>
              <w:pStyle w:val="Compact"/>
              <w:spacing w:after="20" w:before="20"/>
              <w:jc w:val="left"/>
            </w:pPr>
            <w:r>
              <w:rPr>
                <w:sz w:val="18"/>
              </w:rPr>
              <w:t xml:space="preserve">15</w:t>
            </w:r>
          </w:p>
        </w:tc>
      </w:tr>
      <w:tr>
        <w:trPr>
          <w:cantSplit w:val="true"/>
        </w:trPr>
        <w:tc>
          <w:tcPr>
            <w:tcW w:w="1911" w:type="dxa"/>
            <w:shd w:val="clear" w:color="auto" w:fill="EEF2F6"/>
          </w:tcPr>
          <w:p>
            <w:pPr>
              <w:pStyle w:val="Compact"/>
              <w:spacing w:after="20" w:before="20"/>
              <w:jc w:val="left"/>
            </w:pPr>
            <w:r>
              <w:rPr>
                <w:sz w:val="18"/>
              </w:rPr>
              <w:t xml:space="preserve">Hebdomadaire</w:t>
            </w:r>
          </w:p>
        </w:tc>
        <w:tc>
          <w:tcPr>
            <w:tcW w:w="2461" w:type="dxa"/>
            <w:shd w:val="clear" w:color="auto" w:fill="EEF2F6"/>
          </w:tcPr>
          <w:p>
            <w:pPr>
              <w:pStyle w:val="Compact"/>
              <w:spacing w:after="20" w:before="20"/>
              <w:jc w:val="left"/>
            </w:pPr>
            <w:r>
              <w:rPr>
                <w:sz w:val="18"/>
              </w:rPr>
              <w:t xml:space="preserve">7</w:t>
            </w:r>
          </w:p>
        </w:tc>
        <w:tc>
          <w:tcPr>
            <w:tcW w:w="1274" w:type="dxa"/>
            <w:shd w:val="clear" w:color="auto" w:fill="EEF2F6"/>
          </w:tcPr>
          <w:p>
            <w:pPr>
              <w:pStyle w:val="Compact"/>
              <w:spacing w:after="20" w:before="20"/>
              <w:jc w:val="left"/>
            </w:pPr>
            <w:r>
              <w:rPr>
                <w:sz w:val="18"/>
              </w:rPr>
              <w:t xml:space="preserve">5</w:t>
            </w:r>
          </w:p>
        </w:tc>
        <w:tc>
          <w:tcPr>
            <w:tcW w:w="3764" w:type="dxa"/>
            <w:shd w:val="clear" w:color="auto" w:fill="EEF2F6"/>
          </w:tcPr>
          <w:p>
            <w:pPr>
              <w:pStyle w:val="Compact"/>
              <w:spacing w:after="20" w:before="20"/>
              <w:jc w:val="left"/>
            </w:pPr>
            <w:r>
              <w:rPr>
                <w:sz w:val="18"/>
              </w:rPr>
              <w:t xml:space="preserve">35</w:t>
            </w:r>
          </w:p>
        </w:tc>
      </w:tr>
      <w:tr>
        <w:trPr>
          <w:cantSplit w:val="true"/>
        </w:trPr>
        <w:tc>
          <w:tcPr>
            <w:tcW w:w="1911" w:type="dxa"/>
          </w:tcPr>
          <w:p>
            <w:pPr>
              <w:pStyle w:val="Compact"/>
              <w:spacing w:after="20" w:before="20"/>
              <w:jc w:val="left"/>
            </w:pPr>
            <w:r>
              <w:rPr>
                <w:sz w:val="18"/>
              </w:rPr>
              <w:t xml:space="preserve">Mensuelle</w:t>
            </w:r>
          </w:p>
        </w:tc>
        <w:tc>
          <w:tcPr>
            <w:tcW w:w="2461" w:type="dxa"/>
          </w:tcPr>
          <w:p>
            <w:pPr>
              <w:pStyle w:val="Compact"/>
              <w:spacing w:after="20" w:before="20"/>
              <w:jc w:val="left"/>
            </w:pPr>
            <w:r>
              <w:rPr>
                <w:sz w:val="18"/>
              </w:rPr>
              <w:t xml:space="preserve">31</w:t>
            </w:r>
          </w:p>
        </w:tc>
        <w:tc>
          <w:tcPr>
            <w:tcW w:w="1274" w:type="dxa"/>
          </w:tcPr>
          <w:p>
            <w:pPr>
              <w:pStyle w:val="Compact"/>
              <w:spacing w:after="20" w:before="20"/>
              <w:jc w:val="left"/>
            </w:pPr>
            <w:r>
              <w:rPr>
                <w:sz w:val="18"/>
              </w:rPr>
              <w:t xml:space="preserve">12</w:t>
            </w:r>
          </w:p>
        </w:tc>
        <w:tc>
          <w:tcPr>
            <w:tcW w:w="3764" w:type="dxa"/>
          </w:tcPr>
          <w:p>
            <w:pPr>
              <w:pStyle w:val="Compact"/>
              <w:spacing w:after="20" w:before="20"/>
              <w:jc w:val="left"/>
            </w:pPr>
            <w:r>
              <w:rPr>
                <w:sz w:val="18"/>
              </w:rPr>
              <w:t xml:space="preserve">372</w:t>
            </w:r>
          </w:p>
        </w:tc>
      </w:tr>
      <w:tr>
        <w:trPr>
          <w:cantSplit w:val="true"/>
        </w:trPr>
        <w:tc>
          <w:tcPr>
            <w:tcW w:w="1911" w:type="dxa"/>
            <w:shd w:val="clear" w:color="auto" w:fill="EEF2F6"/>
          </w:tcPr>
          <w:p>
            <w:pPr>
              <w:pStyle w:val="Compact"/>
              <w:spacing w:after="20" w:before="20"/>
              <w:jc w:val="left"/>
            </w:pPr>
            <w:r>
              <w:rPr>
                <w:sz w:val="18"/>
              </w:rPr>
              <w:t xml:space="preserve">Annuelle</w:t>
            </w:r>
          </w:p>
        </w:tc>
        <w:tc>
          <w:tcPr>
            <w:tcW w:w="2461" w:type="dxa"/>
            <w:shd w:val="clear" w:color="auto" w:fill="EEF2F6"/>
          </w:tcPr>
          <w:p>
            <w:pPr>
              <w:pStyle w:val="Compact"/>
              <w:spacing w:after="20" w:before="20"/>
              <w:jc w:val="left"/>
            </w:pPr>
            <w:r>
              <w:rPr>
                <w:sz w:val="18"/>
              </w:rPr>
              <w:t xml:space="preserve">365</w:t>
            </w:r>
          </w:p>
        </w:tc>
        <w:tc>
          <w:tcPr>
            <w:tcW w:w="1274" w:type="dxa"/>
            <w:shd w:val="clear" w:color="auto" w:fill="EEF2F6"/>
          </w:tcPr>
          <w:p>
            <w:pPr>
              <w:pStyle w:val="Compact"/>
              <w:spacing w:after="20" w:before="20"/>
              <w:jc w:val="left"/>
            </w:pPr>
            <w:r>
              <w:rPr>
                <w:sz w:val="18"/>
              </w:rPr>
              <w:t xml:space="preserve">5</w:t>
            </w:r>
          </w:p>
        </w:tc>
        <w:tc>
          <w:tcPr>
            <w:tcW w:w="3764" w:type="dxa"/>
            <w:shd w:val="clear" w:color="auto" w:fill="EEF2F6"/>
          </w:tcPr>
          <w:p>
            <w:pPr>
              <w:pStyle w:val="Compact"/>
              <w:spacing w:after="20" w:before="20"/>
              <w:jc w:val="left"/>
            </w:pPr>
            <w:r>
              <w:rPr>
                <w:sz w:val="18"/>
              </w:rPr>
              <w:t xml:space="preserve">1 825</w:t>
            </w:r>
          </w:p>
        </w:tc>
      </w:tr>
      <w:tr>
        <w:trPr>
          <w:cantSplit w:val="true"/>
        </w:trPr>
        <w:tc>
          <w:tcPr>
            <w:tcW w:w="1911" w:type="dxa"/>
          </w:tcPr>
          <w:p>
            <w:pPr>
              <w:pStyle w:val="Compact"/>
              <w:spacing w:after="20" w:before="20"/>
              <w:jc w:val="left"/>
            </w:pPr>
            <w:r>
              <w:rPr>
                <w:bCs/>
                <w:b/>
                <w:sz w:val="18"/>
              </w:rPr>
              <w:t xml:space="preserve">Total</w:t>
            </w:r>
          </w:p>
        </w:tc>
        <w:tc>
          <w:tcPr>
            <w:tcW w:w="2461" w:type="dxa"/>
          </w:tcPr>
          <w:p>
            <w:pPr>
              <w:pStyle w:val="Compact"/>
              <w:spacing w:after="20" w:before="20"/>
            </w:pPr>
          </w:p>
        </w:tc>
        <w:tc>
          <w:tcPr>
            <w:tcW w:w="1274" w:type="dxa"/>
          </w:tcPr>
          <w:p>
            <w:pPr>
              <w:pStyle w:val="Compact"/>
              <w:spacing w:after="20" w:before="20"/>
              <w:jc w:val="left"/>
            </w:pPr>
            <w:r>
              <w:rPr>
                <w:bCs/>
                <w:b/>
                <w:sz w:val="18"/>
              </w:rPr>
              <w:t xml:space="preserve">37</w:t>
            </w:r>
          </w:p>
        </w:tc>
        <w:tc>
          <w:tcPr>
            <w:tcW w:w="3764" w:type="dxa"/>
          </w:tcPr>
          <w:p>
            <w:pPr>
              <w:pStyle w:val="Compact"/>
              <w:spacing w:after="20" w:before="20"/>
              <w:jc w:val="left"/>
            </w:pPr>
            <w:r>
              <w:rPr>
                <w:bCs/>
                <w:b/>
                <w:sz w:val="18"/>
              </w:rPr>
              <w:t xml:space="preserve">≈ 5 ans</w:t>
            </w:r>
          </w:p>
        </w:tc>
      </w:tr>
    </w:tbl>
    <w:p>
      <w:pPr>
        <w:pStyle w:val="BodyText"/>
      </w:pPr>
      <w:r>
        <w:t xml:space="preserve">Ce schéma garantit l'existence d'une sauvegarde sur cinq ans avec 37 versions réparties de façon dégressive : dense sur les derniers jours, espacée au-delà. Les versions anciennes</w:t>
      </w:r>
      <w:r>
        <w:t xml:space="preserve"> </w:t>
      </w:r>
      <w:r>
        <w:rPr>
          <w:bCs/>
          <w:b/>
        </w:rPr>
        <w:t xml:space="preserve">ne sont pas des archives</w:t>
      </w:r>
      <w:r>
        <w:t xml:space="preserve">.</w:t>
      </w:r>
    </w:p>
    <w:p>
      <w:pPr>
        <w:pStyle w:val="BlockText"/>
      </w:pPr>
      <w:r>
        <w:t xml:space="preserve">Au-delà de sa période de rétention, une donnée morte est considérée comme perdue et</w:t>
      </w:r>
      <w:r>
        <w:t xml:space="preserve"> </w:t>
      </w:r>
      <w:r>
        <w:rPr>
          <w:bCs/>
          <w:b/>
        </w:rPr>
        <w:t xml:space="preserve">doit être détruite</w:t>
      </w:r>
      <w:r>
        <w:t xml:space="preserve"> </w:t>
      </w:r>
      <w:r>
        <w:t xml:space="preserve">pour garantir la confidentialité des données.</w:t>
      </w:r>
    </w:p>
    <w:p>
      <w:pPr>
        <w:pStyle w:val="FirstParagraph"/>
      </w:pPr>
      <w:r>
        <w:t xml:space="preserve">La</w:t>
      </w:r>
      <w:r>
        <w:t xml:space="preserve"> </w:t>
      </w:r>
      <w:r>
        <w:rPr>
          <w:bCs/>
          <w:b/>
        </w:rPr>
        <w:t xml:space="preserve">profondeur</w:t>
      </w:r>
      <w:r>
        <w:t xml:space="preserve"> </w:t>
      </w:r>
      <w:r>
        <w:t xml:space="preserve">(âge maximal de conservation) d'une donnée correspond à la rétention maximale de l'ensemble de ses sauvegardes.</w:t>
      </w:r>
    </w:p>
    <w:p>
      <w:pPr>
        <w:pStyle w:val="BodyText"/>
      </w:pPr>
      <w:r>
        <w:t xml:space="preserve">⚠</w:t>
      </w:r>
      <w:r>
        <w:t xml:space="preserve"> </w:t>
      </w:r>
      <w:r>
        <w:rPr>
          <w:bCs/>
          <w:b/>
        </w:rPr>
        <w:t xml:space="preserve">Point d'expertise</w:t>
      </w:r>
      <w:r>
        <w:t xml:space="preserve"> </w:t>
      </w:r>
      <w:r>
        <w:t xml:space="preserve">— La conservation de données personnelles dans les sauvegardes doit rester compatible avec les durées de conservation déclarées au titre du RGPD. Une rétention pluriannuelle doit être justifiée dans le registre des traitements, et le traitement des demandes d'effacement vis-à-vis des sauvegardes doit être documenté</w:t>
      </w:r>
      <w:r>
        <w:t xml:space="preserve"> </w:t>
      </w:r>
      <w:r>
        <w:rPr>
          <w:bCs/>
          <w:b/>
        </w:rPr>
        <w:t xml:space="preserve">[À VALIDER avec le DPO]</w:t>
      </w:r>
      <w:r>
        <w:t xml:space="preserve">.</w:t>
      </w:r>
    </w:p>
    <w:bookmarkEnd w:id="46"/>
    <w:bookmarkStart w:id="47" w:name="sanctuarisation-des-sauvegardes"/>
    <w:p>
      <w:pPr>
        <w:pStyle w:val="Heading2"/>
      </w:pPr>
      <w:r>
        <w:t xml:space="preserve">5.14 Sanctuarisation des sauvegardes</w:t>
      </w:r>
    </w:p>
    <w:p>
      <w:pPr>
        <w:pStyle w:val="FirstParagraph"/>
      </w:pPr>
      <w:r>
        <w:t xml:space="preserve">La sanctuarisation est un dispositif d'isolation garantissant la</w:t>
      </w:r>
      <w:r>
        <w:t xml:space="preserve"> </w:t>
      </w:r>
      <w:r>
        <w:rPr>
          <w:bCs/>
          <w:b/>
        </w:rPr>
        <w:t xml:space="preserve">non-altérabilité</w:t>
      </w:r>
      <w:r>
        <w:t xml:space="preserve"> </w:t>
      </w:r>
      <w:r>
        <w:t xml:space="preserve">des sauvegardes jusqu'à une date ou un événement déterminé. Il combine mesures organisationnelles et techniques. Son objectif est de garantir l'existence de sauvegardes exploitables pour sortir d'un sinistre, y compris lorsque l'attaquant a obtenu des droits d'administration sur le SI.</w:t>
      </w:r>
    </w:p>
    <w:p>
      <w:pPr>
        <w:pStyle w:val="BodyText"/>
      </w:pPr>
      <w:r>
        <w:t xml:space="preserve">Exigences minimales de l'OGS</w:t>
      </w:r>
      <w:r>
        <w:t xml:space="preserve"> </w:t>
      </w:r>
      <w:r>
        <w:rPr>
          <w:bCs/>
          <w:b/>
        </w:rPr>
        <w:t xml:space="preserve">[À VALIDER]</w:t>
      </w:r>
      <w:r>
        <w:t xml:space="preserve"> </w:t>
      </w:r>
      <w:r>
        <w:t xml:space="preserv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768"/>
        <w:gridCol w:w="6643"/>
      </w:tblGrid>
      <w:tr>
        <w:trPr>
          <w:tblHeader w:val="true"/>
          <w:tblHeader w:val="true"/>
          <w:cantSplit w:val="true"/>
        </w:trPr>
        <w:tc>
          <w:tcPr>
            <w:tcW w:w="2768" w:type="dxa"/>
            <w:shd w:val="clear" w:color="auto" w:fill="1F3A5F"/>
          </w:tcPr>
          <w:p>
            <w:pPr>
              <w:pStyle w:val="Compact"/>
              <w:spacing w:after="20" w:before="20"/>
              <w:jc w:val="left"/>
            </w:pPr>
            <w:r>
              <w:rPr>
                <w:b/>
                <w:color w:val="FFFFFF"/>
                <w:sz w:val="18"/>
              </w:rPr>
              <w:t xml:space="preserve">Exigence</w:t>
            </w:r>
          </w:p>
        </w:tc>
        <w:tc>
          <w:tcPr>
            <w:tcW w:w="6643" w:type="dxa"/>
            <w:shd w:val="clear" w:color="auto" w:fill="1F3A5F"/>
          </w:tcPr>
          <w:p>
            <w:pPr>
              <w:pStyle w:val="Compact"/>
              <w:spacing w:after="20" w:before="20"/>
              <w:jc w:val="left"/>
            </w:pPr>
            <w:r>
              <w:rPr>
                <w:b/>
                <w:color w:val="FFFFFF"/>
                <w:sz w:val="18"/>
              </w:rPr>
              <w:t xml:space="preserve">Contenu</w:t>
            </w:r>
          </w:p>
        </w:tc>
      </w:tr>
      <w:tr>
        <w:trPr>
          <w:cantSplit w:val="true"/>
        </w:trPr>
        <w:tc>
          <w:tcPr>
            <w:tcW w:w="2768" w:type="dxa"/>
          </w:tcPr>
          <w:p>
            <w:pPr>
              <w:pStyle w:val="Compact"/>
              <w:spacing w:after="20" w:before="20"/>
              <w:jc w:val="left"/>
            </w:pPr>
            <w:r>
              <w:rPr>
                <w:bCs/>
                <w:b/>
                <w:sz w:val="18"/>
              </w:rPr>
              <w:t xml:space="preserve">Règle 3-2-1-1-0</w:t>
            </w:r>
          </w:p>
        </w:tc>
        <w:tc>
          <w:tcPr>
            <w:tcW w:w="6643" w:type="dxa"/>
          </w:tcPr>
          <w:p>
            <w:pPr>
              <w:pStyle w:val="Compact"/>
              <w:spacing w:after="20" w:before="20"/>
              <w:jc w:val="left"/>
            </w:pPr>
            <w:r>
              <w:rPr>
                <w:sz w:val="18"/>
              </w:rPr>
              <w:t xml:space="preserve">3 copies des données, sur 2 supports ou technologies différents, dont 1 hors site, dont 1 hors ligne ou immuable, avec 0 erreur constatée lors des vérifications de restauration. ⚠ L'ANSSI formule le socle 3-2-1 ainsi : la production et deux sauvegardes, sur des supports différents,</w:t>
            </w:r>
            <w:r>
              <w:rPr>
                <w:sz w:val="18"/>
              </w:rPr>
              <w:t xml:space="preserve"> </w:t>
            </w:r>
            <w:r>
              <w:rPr>
                <w:bCs/>
                <w:b/>
                <w:sz w:val="18"/>
              </w:rPr>
              <w:t xml:space="preserve">dont une hors ligne</w:t>
            </w:r>
            <w:r>
              <w:rPr>
                <w:sz w:val="18"/>
              </w:rPr>
              <w:t xml:space="preserve"> </w:t>
            </w:r>
            <w:r>
              <w:rPr>
                <w:sz w:val="18"/>
              </w:rPr>
              <w:t xml:space="preserve">— une copie hors site mais joignable par le réseau ne suffit pas</w:t>
            </w:r>
          </w:p>
        </w:tc>
      </w:tr>
      <w:tr>
        <w:trPr>
          <w:cantSplit w:val="true"/>
        </w:trPr>
        <w:tc>
          <w:tcPr>
            <w:tcW w:w="2768" w:type="dxa"/>
            <w:shd w:val="clear" w:color="auto" w:fill="EEF2F6"/>
          </w:tcPr>
          <w:p>
            <w:pPr>
              <w:pStyle w:val="Compact"/>
              <w:spacing w:after="20" w:before="20"/>
              <w:jc w:val="left"/>
            </w:pPr>
            <w:r>
              <w:rPr>
                <w:bCs/>
                <w:b/>
                <w:sz w:val="18"/>
              </w:rPr>
              <w:t xml:space="preserve">Immutabilité</w:t>
            </w:r>
          </w:p>
        </w:tc>
        <w:tc>
          <w:tcPr>
            <w:tcW w:w="6643" w:type="dxa"/>
            <w:shd w:val="clear" w:color="auto" w:fill="EEF2F6"/>
          </w:tcPr>
          <w:p>
            <w:pPr>
              <w:pStyle w:val="Compact"/>
              <w:spacing w:after="20" w:before="20"/>
              <w:jc w:val="left"/>
            </w:pPr>
            <w:r>
              <w:rPr>
                <w:sz w:val="18"/>
              </w:rPr>
              <w:t xml:space="preserve">Verrouillage de la rétention (type WORM /</w:t>
            </w:r>
            <w:r>
              <w:rPr>
                <w:sz w:val="18"/>
              </w:rPr>
              <w:t xml:space="preserve"> </w:t>
            </w:r>
            <w:r>
              <w:rPr>
                <w:iCs/>
                <w:i/>
                <w:sz w:val="18"/>
              </w:rPr>
              <w:t xml:space="preserve">object lock</w:t>
            </w:r>
            <w:r>
              <w:rPr>
                <w:sz w:val="18"/>
              </w:rPr>
              <w:t xml:space="preserve"> </w:t>
            </w:r>
            <w:r>
              <w:rPr>
                <w:sz w:val="18"/>
              </w:rPr>
              <w:t xml:space="preserve">en mode conformité, ou bandes hors ligne) : aucune suppression ni modification possible avant échéance, y compris par un administrateur</w:t>
            </w:r>
          </w:p>
        </w:tc>
      </w:tr>
      <w:tr>
        <w:trPr>
          <w:cantSplit w:val="true"/>
        </w:trPr>
        <w:tc>
          <w:tcPr>
            <w:tcW w:w="2768" w:type="dxa"/>
          </w:tcPr>
          <w:p>
            <w:pPr>
              <w:pStyle w:val="Compact"/>
              <w:spacing w:after="20" w:before="20"/>
              <w:jc w:val="left"/>
            </w:pPr>
            <w:r>
              <w:rPr>
                <w:bCs/>
                <w:b/>
                <w:sz w:val="18"/>
              </w:rPr>
              <w:t xml:space="preserve">Séparation des privilèges</w:t>
            </w:r>
          </w:p>
        </w:tc>
        <w:tc>
          <w:tcPr>
            <w:tcW w:w="6643" w:type="dxa"/>
          </w:tcPr>
          <w:p>
            <w:pPr>
              <w:pStyle w:val="Compact"/>
              <w:spacing w:after="20" w:before="20"/>
              <w:jc w:val="left"/>
            </w:pPr>
            <w:r>
              <w:rPr>
                <w:sz w:val="18"/>
              </w:rPr>
              <w:t xml:space="preserve">Plan d'administration de la sauvegarde distinct de l'annuaire de production, authentification forte, comptes nominatifs, principe du double contrôle pour toute suppression ou réduction de rétention</w:t>
            </w:r>
          </w:p>
        </w:tc>
      </w:tr>
      <w:tr>
        <w:trPr>
          <w:cantSplit w:val="true"/>
        </w:trPr>
        <w:tc>
          <w:tcPr>
            <w:tcW w:w="2768" w:type="dxa"/>
            <w:shd w:val="clear" w:color="auto" w:fill="EEF2F6"/>
          </w:tcPr>
          <w:p>
            <w:pPr>
              <w:pStyle w:val="Compact"/>
              <w:spacing w:after="20" w:before="20"/>
              <w:jc w:val="left"/>
            </w:pPr>
            <w:r>
              <w:rPr>
                <w:bCs/>
                <w:b/>
                <w:sz w:val="18"/>
              </w:rPr>
              <w:t xml:space="preserve">Isolation réseau</w:t>
            </w:r>
          </w:p>
        </w:tc>
        <w:tc>
          <w:tcPr>
            <w:tcW w:w="6643" w:type="dxa"/>
            <w:shd w:val="clear" w:color="auto" w:fill="EEF2F6"/>
          </w:tcPr>
          <w:p>
            <w:pPr>
              <w:pStyle w:val="Compact"/>
              <w:spacing w:after="20" w:before="20"/>
              <w:jc w:val="left"/>
            </w:pPr>
            <w:r>
              <w:rPr>
                <w:sz w:val="18"/>
              </w:rPr>
              <w:t xml:space="preserve">Flux vers le coffre limités, unidirectionnels lorsque c'est possible, fenêtres d'ouverture contrôlées</w:t>
            </w:r>
          </w:p>
        </w:tc>
      </w:tr>
      <w:tr>
        <w:trPr>
          <w:cantSplit w:val="true"/>
        </w:trPr>
        <w:tc>
          <w:tcPr>
            <w:tcW w:w="2768" w:type="dxa"/>
          </w:tcPr>
          <w:p>
            <w:pPr>
              <w:pStyle w:val="Compact"/>
              <w:spacing w:after="20" w:before="20"/>
              <w:jc w:val="left"/>
            </w:pPr>
            <w:r>
              <w:rPr>
                <w:bCs/>
                <w:b/>
                <w:sz w:val="18"/>
              </w:rPr>
              <w:t xml:space="preserve">Surveillance</w:t>
            </w:r>
          </w:p>
        </w:tc>
        <w:tc>
          <w:tcPr>
            <w:tcW w:w="6643" w:type="dxa"/>
          </w:tcPr>
          <w:p>
            <w:pPr>
              <w:pStyle w:val="Compact"/>
              <w:spacing w:after="20" w:before="20"/>
              <w:jc w:val="left"/>
            </w:pPr>
            <w:r>
              <w:rPr>
                <w:sz w:val="18"/>
              </w:rPr>
              <w:t xml:space="preserve">Alerte sur les comportements anormaux : suppressions massives, variations brutales de volumétrie ou de taux de déduplication (indice de chiffrement)</w:t>
            </w:r>
          </w:p>
        </w:tc>
      </w:tr>
    </w:tbl>
    <w:p>
      <w:pPr>
        <w:pStyle w:val="BodyText"/>
      </w:pPr>
      <w:r>
        <w:t xml:space="preserve">Dispositif retenu par</w:t>
      </w:r>
      <w:r>
        <w:t xml:space="preserve"> </w:t>
      </w:r>
      <w:r>
        <w:rPr>
          <w:rStyle w:val="VerbatimChar"/>
          <w:b/>
          <w:color w:val="8A5A00"/>
        </w:rPr>
        <w:t xml:space="preserve">{{ORGANISATION}}</w:t>
      </w:r>
      <w:r>
        <w:t xml:space="preserve"> </w:t>
      </w:r>
      <w:r>
        <w:t xml:space="preserve">:</w:t>
      </w:r>
      <w:r>
        <w:t xml:space="preserve"> </w:t>
      </w:r>
      <w:r>
        <w:rPr>
          <w:rStyle w:val="VerbatimChar"/>
          <w:b/>
          <w:color w:val="8A5A00"/>
        </w:rPr>
        <w:t xml:space="preserve">{{NOM_DU_DISPOSITIF}}</w:t>
      </w:r>
      <w:r>
        <w:t xml:space="preserve">, opéré par</w:t>
      </w:r>
      <w:r>
        <w:t xml:space="preserve"> </w:t>
      </w:r>
      <w:r>
        <w:rPr>
          <w:rStyle w:val="VerbatimChar"/>
          <w:b/>
          <w:color w:val="8A5A00"/>
        </w:rPr>
        <w:t xml:space="preserve">{{PRESTATAIRE_COFFRE}}</w:t>
      </w:r>
      <w:r>
        <w:t xml:space="preserve"> </w:t>
      </w:r>
      <w:r>
        <w:t xml:space="preserve">ou en interne</w:t>
      </w:r>
      <w:r>
        <w:t xml:space="preserve"> </w:t>
      </w:r>
      <w:r>
        <w:rPr>
          <w:bCs/>
          <w:b/>
        </w:rPr>
        <w:t xml:space="preserve">[À COMPLÉTER]</w:t>
      </w:r>
      <w:r>
        <w:t xml:space="preserve">.</w:t>
      </w:r>
    </w:p>
    <w:bookmarkEnd w:id="47"/>
    <w:bookmarkStart w:id="48" w:name="Xa0b43f332bae8ccfad60d99901441b08ab9164f"/>
    <w:p>
      <w:pPr>
        <w:pStyle w:val="Heading2"/>
      </w:pPr>
      <w:r>
        <w:t xml:space="preserve">5.15 Unité de temps et intégrité référentielle</w:t>
      </w:r>
    </w:p>
    <w:p>
      <w:pPr>
        <w:pStyle w:val="FirstParagraph"/>
      </w:pPr>
      <w:r>
        <w:t xml:space="preserve">La sécurisation cohérente d'un ensemble de données exige généralement plusieurs sauvegardes unitaires. Celles-ci doivent être réalisées</w:t>
      </w:r>
      <w:r>
        <w:t xml:space="preserve"> </w:t>
      </w:r>
      <w:r>
        <w:rPr>
          <w:bCs/>
          <w:b/>
        </w:rPr>
        <w:t xml:space="preserve">dans une même unité de temps</w:t>
      </w:r>
      <w:r>
        <w:t xml:space="preserve"> </w:t>
      </w:r>
      <w:r>
        <w:t xml:space="preserve">(point de cohérence) pour préserver l'intégrité référentielle en cas de restauration du groupe.</w:t>
      </w:r>
    </w:p>
    <w:p>
      <w:pPr>
        <w:pStyle w:val="BodyText"/>
      </w:pPr>
      <w:r>
        <w:t xml:space="preserve">⚠ Sans unité de temps, la restauration produit des incohérences entre données. Il faut alors en reconstituer la cohérence par des correctifs appliqués directement sur les données (§5.20).</w:t>
      </w:r>
    </w:p>
    <w:bookmarkEnd w:id="48"/>
    <w:bookmarkStart w:id="49" w:name="réparation-des-données"/>
    <w:p>
      <w:pPr>
        <w:pStyle w:val="Heading2"/>
      </w:pPr>
      <w:r>
        <w:t xml:space="preserve">5.16 Réparation des données</w:t>
      </w:r>
    </w:p>
    <w:p>
      <w:pPr>
        <w:pStyle w:val="FirstParagraph"/>
      </w:pPr>
      <w:r>
        <w:t xml:space="preserve">La réparation corrige des données corrompues. Si des sauvegardes exploitables existent, elle s'effectue par</w:t>
      </w:r>
      <w:r>
        <w:t xml:space="preserve"> </w:t>
      </w:r>
      <w:r>
        <w:rPr>
          <w:bCs/>
          <w:b/>
        </w:rPr>
        <w:t xml:space="preserve">restauration</w:t>
      </w:r>
      <w:r>
        <w:t xml:space="preserve"> </w:t>
      </w:r>
      <w:r>
        <w:t xml:space="preserve">(§5.17) ; sinon, par</w:t>
      </w:r>
      <w:r>
        <w:t xml:space="preserve"> </w:t>
      </w:r>
      <w:r>
        <w:rPr>
          <w:bCs/>
          <w:b/>
        </w:rPr>
        <w:t xml:space="preserve">reconstitution</w:t>
      </w:r>
      <w:r>
        <w:t xml:space="preserve"> </w:t>
      </w:r>
      <w:r>
        <w:t xml:space="preserve">(§5.20).</w:t>
      </w:r>
    </w:p>
    <w:bookmarkEnd w:id="49"/>
    <w:bookmarkStart w:id="50" w:name="restauration-des-données"/>
    <w:p>
      <w:pPr>
        <w:pStyle w:val="Heading2"/>
      </w:pPr>
      <w:r>
        <w:t xml:space="preserve">5.17 Restauration des données</w:t>
      </w:r>
    </w:p>
    <w:p>
      <w:pPr>
        <w:pStyle w:val="FirstParagraph"/>
      </w:pPr>
      <w:r>
        <w:t xml:space="preserve">La restauration transfère sur un système existant des données issues d'un support de sauvegarde, pour retrouver les données vivantes dans leur état à un instant</w:t>
      </w:r>
      <w:r>
        <w:t xml:space="preserve"> </w:t>
      </w:r>
      <w:r>
        <w:rPr>
          <w:iCs/>
          <w:i/>
        </w:rPr>
        <w:t xml:space="preserve">t</w:t>
      </w:r>
      <w:r>
        <w:t xml:space="preserve">. Réalisée directement sur des données vivantes, elle les remplace par leur image à la date de la sauvegarde utilisée.</w:t>
      </w:r>
    </w:p>
    <w:p>
      <w:pPr>
        <w:pStyle w:val="BodyText"/>
      </w:pPr>
      <w:r>
        <w:t xml:space="preserve">La capacité de restauration décroît avec le temps (au-delà de la rétention) et avec les événements (sauvegardes échouées ou corrompues).</w:t>
      </w:r>
    </w:p>
    <w:bookmarkEnd w:id="50"/>
    <w:bookmarkStart w:id="51" w:name="X5756f2f5bcb4cf4e85cc22d9872f08b3ae58df7"/>
    <w:p>
      <w:pPr>
        <w:pStyle w:val="Heading2"/>
      </w:pPr>
      <w:r>
        <w:t xml:space="preserve">5.18 Espace de validation et environnement de restauration sain</w:t>
      </w:r>
    </w:p>
    <w:p>
      <w:pPr>
        <w:pStyle w:val="FirstParagraph"/>
      </w:pPr>
      <w:r>
        <w:t xml:space="preserve">Lors d'un incident touchant un volume important ou des données critiques, il faut disposer d'un</w:t>
      </w:r>
      <w:r>
        <w:t xml:space="preserve"> </w:t>
      </w:r>
      <w:r>
        <w:rPr>
          <w:bCs/>
          <w:b/>
        </w:rPr>
        <w:t xml:space="preserve">espace de stockage similaire mais distinct</w:t>
      </w:r>
      <w:r>
        <w:t xml:space="preserve"> </w:t>
      </w:r>
      <w:r>
        <w:t xml:space="preserve">de celui des données impactées. Il permet de restaurer sans écraser les données en incident, puis de comparer les deux pour mesurer l'impact.</w:t>
      </w:r>
    </w:p>
    <w:p>
      <w:pPr>
        <w:pStyle w:val="BodyText"/>
      </w:pPr>
      <w:r>
        <w:rPr>
          <w:bCs/>
          <w:b/>
        </w:rPr>
        <w:t xml:space="preserve">Extension cyber [À VALIDER]</w:t>
      </w:r>
      <w:r>
        <w:t xml:space="preserve"> </w:t>
      </w:r>
      <w:r>
        <w:t xml:space="preserve">— Dans un scénario ILG, cet espace prend la forme d'un</w:t>
      </w:r>
      <w:r>
        <w:t xml:space="preserve"> </w:t>
      </w:r>
      <w:r>
        <w:rPr>
          <w:bCs/>
          <w:b/>
        </w:rPr>
        <w:t xml:space="preserve">environnement de restauration sain</w:t>
      </w:r>
      <w:r>
        <w:t xml:space="preserve"> </w:t>
      </w:r>
      <w:r>
        <w:t xml:space="preserve">(</w:t>
      </w:r>
      <w:r>
        <w:rPr>
          <w:iCs/>
          <w:i/>
        </w:rPr>
        <w:t xml:space="preserve">clean room</w:t>
      </w:r>
      <w:r>
        <w:t xml:space="preserve">) : isolé du SI compromis, il permet d'analyser les sauvegardes (recherche de marqueurs de compromission, détection de logiciels malveillants), d'identifier le dernier point de restauration sain, puis de reconstruire les socles avant réintégration.</w:t>
      </w:r>
    </w:p>
    <w:bookmarkEnd w:id="51"/>
    <w:bookmarkStart w:id="52" w:name="reconstruction"/>
    <w:p>
      <w:pPr>
        <w:pStyle w:val="Heading2"/>
      </w:pPr>
      <w:r>
        <w:t xml:space="preserve">5.19 Reconstruction</w:t>
      </w:r>
    </w:p>
    <w:p>
      <w:pPr>
        <w:pStyle w:val="FirstParagraph"/>
      </w:pPr>
      <w:r>
        <w:t xml:space="preserve">La reconstruction réinstalle, sur les systèmes impactés, un système non corrompu. Elle ne se limite pas aux données métier : une caractéristique de la menace cyber est de devoir</w:t>
      </w:r>
      <w:r>
        <w:t xml:space="preserve"> </w:t>
      </w:r>
      <w:r>
        <w:rPr>
          <w:bCs/>
          <w:b/>
        </w:rPr>
        <w:t xml:space="preserve">reconstruire les environnements techniques</w:t>
      </w:r>
      <w:r>
        <w:t xml:space="preserve"> </w:t>
      </w:r>
      <w:r>
        <w:t xml:space="preserve">(systèmes, annuaire, DNS, PKI, outils d'administration, infrastructure de sauvegarde).</w:t>
      </w:r>
    </w:p>
    <w:p>
      <w:pPr>
        <w:pStyle w:val="BodyText"/>
      </w:pPr>
      <w:r>
        <w:t xml:space="preserve">Conséquence directe :</w:t>
      </w:r>
      <w:r>
        <w:t xml:space="preserve"> </w:t>
      </w:r>
      <w:r>
        <w:rPr>
          <w:bCs/>
          <w:b/>
        </w:rPr>
        <w:t xml:space="preserve">les éléments nécessaires à la reconstruction doivent eux-mêmes être sauvegardés et isolés</w:t>
      </w:r>
      <w:r>
        <w:t xml:space="preserve"> </w:t>
      </w:r>
      <w:r>
        <w:t xml:space="preserve">— images de référence, configurations, code d'infrastructure, secrets et clés, documentation d'exploitation, procédures de reconstruction.</w:t>
      </w:r>
    </w:p>
    <w:bookmarkEnd w:id="52"/>
    <w:bookmarkStart w:id="53" w:name="reconstitution-des-données"/>
    <w:p>
      <w:pPr>
        <w:pStyle w:val="Heading2"/>
      </w:pPr>
      <w:r>
        <w:t xml:space="preserve">5.20 Reconstitution des données</w:t>
      </w:r>
    </w:p>
    <w:p>
      <w:pPr>
        <w:pStyle w:val="FirstParagraph"/>
      </w:pPr>
      <w:r>
        <w:t xml:space="preserve">Activité complémentaire de la restauration et de la reconstruction. Elle minimise la perte de données, lorsqu'aucune sauvegarde n'est disponible, en rejouant d'anciens flux métier (§5.9), puis remet les données dans un état cohérent garantissant leur intégrité référentielle.</w:t>
      </w:r>
    </w:p>
    <w:p>
      <w:pPr>
        <w:pStyle w:val="BlockText"/>
      </w:pPr>
      <w:r>
        <w:t xml:space="preserve">Le recours à la reconstitution doit rester exceptionnel et limité aux sinistres majeurs.</w:t>
      </w:r>
    </w:p>
    <w:bookmarkEnd w:id="53"/>
    <w:bookmarkEnd w:id="54"/>
    <w:bookmarkStart w:id="68" w:name="périmètres-et-limites"/>
    <w:p>
      <w:pPr>
        <w:pStyle w:val="Heading1"/>
      </w:pPr>
      <w:r>
        <w:t xml:space="preserve">6. Périmètres et limites</w:t>
      </w:r>
    </w:p>
    <w:bookmarkStart w:id="57" w:name="sur-les-rôles"/>
    <w:p>
      <w:pPr>
        <w:pStyle w:val="Heading2"/>
      </w:pPr>
      <w:r>
        <w:t xml:space="preserve">6.1 Sur les rôles</w:t>
      </w:r>
    </w:p>
    <w:bookmarkStart w:id="55" w:name="propriété"/>
    <w:p>
      <w:pPr>
        <w:pStyle w:val="Heading3"/>
      </w:pPr>
      <w:r>
        <w:t xml:space="preserve">6.1.1 Propriété</w:t>
      </w:r>
    </w:p>
    <w:p>
      <w:pPr>
        <w:pStyle w:val="BlockText"/>
      </w:pPr>
      <w:r>
        <w:t xml:space="preserve">Les données métier appartiennent aux métiers ; les supports de stockage appartiennent à</w:t>
      </w:r>
      <w:r>
        <w:t xml:space="preserve"> </w:t>
      </w:r>
      <w:r>
        <w:rPr>
          <w:rStyle w:val="VerbatimChar"/>
          <w:b/>
          <w:color w:val="8A5A00"/>
        </w:rPr>
        <w:t xml:space="preserve">{{ORGANISATION}}</w:t>
      </w:r>
      <w:r>
        <w:t xml:space="preserve">.</w:t>
      </w:r>
    </w:p>
    <w:p>
      <w:pPr>
        <w:pStyle w:val="FirstParagraph"/>
      </w:pPr>
      <w:r>
        <w:t xml:space="preserve">La DSI apporte aux supports de stockage le niveau de sécurité permettant de répondre aux exigences exprimées par les métiers. À défaut d'expression de besoin, l'</w:t>
      </w:r>
      <w:r>
        <w:rPr>
          <w:bCs/>
          <w:b/>
        </w:rPr>
        <w:t xml:space="preserve">Offre Générale de Sauvegarde</w:t>
      </w:r>
      <w:r>
        <w:t xml:space="preserve"> </w:t>
      </w:r>
      <w:r>
        <w:t xml:space="preserve">(§9) s'applique à l'ensemble des données.</w:t>
      </w:r>
    </w:p>
    <w:bookmarkEnd w:id="55"/>
    <w:bookmarkStart w:id="56" w:name="responsabilité"/>
    <w:p>
      <w:pPr>
        <w:pStyle w:val="Heading3"/>
      </w:pPr>
      <w:r>
        <w:t xml:space="preserve">6.1.2 Responsabilité</w:t>
      </w:r>
    </w:p>
    <w:p>
      <w:pPr>
        <w:pStyle w:val="BlockText"/>
      </w:pPr>
      <w:r>
        <w:t xml:space="preserve">La responsabilité de la sécurisation des données du SI relève de</w:t>
      </w:r>
      <w:r>
        <w:t xml:space="preserve"> </w:t>
      </w:r>
      <w:r>
        <w:rPr>
          <w:rStyle w:val="VerbatimChar"/>
          <w:b/>
          <w:color w:val="8A5A00"/>
        </w:rPr>
        <w:t xml:space="preserve">{{ORGANISATION}}</w:t>
      </w:r>
      <w:r>
        <w:t xml:space="preserve"> </w:t>
      </w:r>
      <w:r>
        <w:t xml:space="preserve">et</w:t>
      </w:r>
      <w:r>
        <w:t xml:space="preserve"> </w:t>
      </w:r>
      <w:r>
        <w:rPr>
          <w:bCs/>
          <w:b/>
        </w:rPr>
        <w:t xml:space="preserve">ne peut être déléguée</w:t>
      </w:r>
      <w:r>
        <w:t xml:space="preserve"> </w:t>
      </w:r>
      <w:r>
        <w:t xml:space="preserve">à un tiers.</w:t>
      </w:r>
    </w:p>
    <w:p>
      <w:pPr>
        <w:pStyle w:val="FirstParagraph"/>
      </w:pPr>
      <w:r>
        <w:t xml:space="preserve">Seules la conception, la mise en œuvre ou l'exploitation de la sécurisation peuvent être sous-traitées.</w:t>
      </w:r>
      <w:r>
        <w:t xml:space="preserve"> </w:t>
      </w:r>
      <w:r>
        <w:rPr>
          <w:rStyle w:val="VerbatimChar"/>
          <w:b/>
          <w:color w:val="8A5A00"/>
        </w:rPr>
        <w:t xml:space="preserve">{{ORGANISATION}}</w:t>
      </w:r>
      <w:r>
        <w:t xml:space="preserve"> </w:t>
      </w:r>
      <w:r>
        <w:t xml:space="preserve">conserve le contrôle de la sécurisation et de son efficacité.</w:t>
      </w:r>
    </w:p>
    <w:p>
      <w:pPr>
        <w:pStyle w:val="BodyText"/>
      </w:pPr>
      <w:r>
        <w:t xml:space="preserve">Sont hors de la responsabilité de la DSI les données concernant</w:t>
      </w:r>
      <w:r>
        <w:t xml:space="preserve"> </w:t>
      </w:r>
      <w:r>
        <w:rPr>
          <w:rStyle w:val="VerbatimChar"/>
          <w:b/>
          <w:color w:val="8A5A00"/>
        </w:rPr>
        <w:t xml:space="preserve">{{ORGANISATION}}</w:t>
      </w:r>
      <w:r>
        <w:t xml:space="preserve"> </w:t>
      </w:r>
      <w:r>
        <w:t xml:space="preserve">:</w:t>
      </w:r>
    </w:p>
    <w:p>
      <w:pPr>
        <w:numPr>
          <w:ilvl w:val="0"/>
          <w:numId w:val="1028"/>
        </w:numPr>
        <w:pStyle w:val="Compact"/>
      </w:pPr>
      <w:r>
        <w:t xml:space="preserve">qui ne sont pas intégrées au SI géré par la DSI ;</w:t>
      </w:r>
    </w:p>
    <w:p>
      <w:pPr>
        <w:numPr>
          <w:ilvl w:val="0"/>
          <w:numId w:val="1028"/>
        </w:numPr>
        <w:pStyle w:val="Compact"/>
      </w:pPr>
      <w:r>
        <w:t xml:space="preserve">pour lesquelles une direction a contracté directement avec un partenaire ou un prestataire, sans passer par la DSI. ⚠ Ces situations doivent être recensées : elles constituent des angles morts de la continuité.</w:t>
      </w:r>
    </w:p>
    <w:bookmarkEnd w:id="56"/>
    <w:bookmarkEnd w:id="57"/>
    <w:bookmarkStart w:id="64" w:name="sur-les-données"/>
    <w:p>
      <w:pPr>
        <w:pStyle w:val="Heading2"/>
      </w:pPr>
      <w:r>
        <w:t xml:space="preserve">6.2 Sur les données</w:t>
      </w:r>
    </w:p>
    <w:bookmarkStart w:id="58" w:name="X8ce7f5e277662f8d9d2fb4d20eaa3c6ca5f3b67"/>
    <w:p>
      <w:pPr>
        <w:pStyle w:val="Heading3"/>
      </w:pPr>
      <w:r>
        <w:t xml:space="preserve">6.2.1 Environnements fonctionnels (données structurées)</w:t>
      </w:r>
    </w:p>
    <w:p>
      <w:pPr>
        <w:pStyle w:val="BlockText"/>
      </w:pPr>
      <w:r>
        <w:t xml:space="preserve">Toutes les données du SI exploitées par la DSI, quel que soit leur environnement, sont sécurisées selon le niveau de disponibilité défini par leur classification DICP.</w:t>
      </w:r>
    </w:p>
    <w:p>
      <w:pPr>
        <w:pStyle w:val="FirstParagraph"/>
      </w:pPr>
      <w:r>
        <w:rPr>
          <w:iCs/>
          <w:i/>
        </w:rPr>
        <w:t xml:space="preserve">Exemple : les sources et les exécutables relèvent aussi des méthodes et procédures découlant de la présente stratégie.</w:t>
      </w:r>
    </w:p>
    <w:bookmarkEnd w:id="58"/>
    <w:bookmarkStart w:id="59" w:name="X6080047f5abefe66344e6a8eb2288984dc21d34"/>
    <w:p>
      <w:pPr>
        <w:pStyle w:val="Heading3"/>
      </w:pPr>
      <w:r>
        <w:t xml:space="preserve">6.2.2 Données bureautiques et données locales (données non structurées)</w:t>
      </w:r>
    </w:p>
    <w:p>
      <w:pPr>
        <w:pStyle w:val="BlockText"/>
      </w:pPr>
      <w:r>
        <w:t xml:space="preserve">La sécurisation des données bureautiques est assurée par la mise à disposition d'espaces de stockage partagés (partages réseau, espaces collaboratifs), eux-mêmes sauvegardés.</w:t>
      </w:r>
    </w:p>
    <w:p>
      <w:pPr>
        <w:pStyle w:val="FirstParagraph"/>
      </w:pPr>
      <w:r>
        <w:t xml:space="preserve">En conséquence,</w:t>
      </w:r>
      <w:r>
        <w:t xml:space="preserve"> </w:t>
      </w:r>
      <w:r>
        <w:rPr>
          <w:bCs/>
          <w:b/>
        </w:rPr>
        <w:t xml:space="preserve">aucune donnée bureautique ne doit être stockée sur les disques locaux des postes de travail.</w:t>
      </w:r>
    </w:p>
    <w:p>
      <w:pPr>
        <w:pStyle w:val="BodyText"/>
      </w:pPr>
      <w:r>
        <w:t xml:space="preserve">⚠ La sécurisation des données locales des postes est</w:t>
      </w:r>
      <w:r>
        <w:t xml:space="preserve"> </w:t>
      </w:r>
      <w:r>
        <w:rPr>
          <w:bCs/>
          <w:b/>
        </w:rPr>
        <w:t xml:space="preserve">exclue</w:t>
      </w:r>
      <w:r>
        <w:t xml:space="preserve"> </w:t>
      </w:r>
      <w:r>
        <w:t xml:space="preserve">de la stratégie. La perte massive de postes (sinistre d'un site utilisateur, attaque destructrice) relève d'un scénario spécifique —</w:t>
      </w:r>
      <w:r>
        <w:t xml:space="preserve"> </w:t>
      </w:r>
      <w:r>
        <w:rPr>
          <w:iCs/>
          <w:i/>
        </w:rPr>
        <w:t xml:space="preserve">Indisponibilité Massive des Postes de Travail</w:t>
      </w:r>
      <w:r>
        <w:t xml:space="preserve"> </w:t>
      </w:r>
      <w:r>
        <w:t xml:space="preserve">— couvert par le Plan de Reprise Utilisateurs</w:t>
      </w:r>
      <w:r>
        <w:t xml:space="preserve"> </w:t>
      </w:r>
      <w:r>
        <w:rPr>
          <w:bCs/>
          <w:b/>
        </w:rPr>
        <w:t xml:space="preserve">[À COMPLÉTER : nom local du scénario et du plan]</w:t>
      </w:r>
      <w:r>
        <w:t xml:space="preserve">.</w:t>
      </w:r>
    </w:p>
    <w:bookmarkEnd w:id="59"/>
    <w:bookmarkStart w:id="60" w:name="données-nomades"/>
    <w:p>
      <w:pPr>
        <w:pStyle w:val="Heading3"/>
      </w:pPr>
      <w:r>
        <w:t xml:space="preserve">6.2.3 Données nomades</w:t>
      </w:r>
    </w:p>
    <w:p>
      <w:pPr>
        <w:pStyle w:val="FirstParagraph"/>
      </w:pPr>
      <w:r>
        <w:t xml:space="preserve">Les données nomades sont stockées localement sur les équipements mobiles et synchronisées avec les espaces serveur à chaque connexion. En mode déconnecté, elles ne sont pas sauvegardées : seules les données présentes côté serveur le sont.</w:t>
      </w:r>
    </w:p>
    <w:p>
      <w:pPr>
        <w:pStyle w:val="BodyText"/>
      </w:pPr>
      <w:r>
        <w:t xml:space="preserve">⚠ La perte d'un équipement nomade entraîne la perte définitive des données non synchronisées. Des connexions régulières sont fortement recommandées.</w:t>
      </w:r>
    </w:p>
    <w:bookmarkEnd w:id="60"/>
    <w:bookmarkStart w:id="61" w:name="archives-et-supports-darchive"/>
    <w:p>
      <w:pPr>
        <w:pStyle w:val="Heading3"/>
      </w:pPr>
      <w:r>
        <w:t xml:space="preserve">6.2.4 Archives et supports d'archive</w:t>
      </w:r>
    </w:p>
    <w:p>
      <w:pPr>
        <w:pStyle w:val="FirstParagraph"/>
      </w:pPr>
      <w:r>
        <w:t xml:space="preserve">L'archivage est une mesure fonctionnelle, destinée à répondre à une obligation juridique, fiscale ou légale portée par les métiers. Ce n'est pas une mesure de sécurisation à l'initiative de la DSI.</w:t>
      </w:r>
    </w:p>
    <w:p>
      <w:pPr>
        <w:pStyle w:val="BlockText"/>
      </w:pPr>
      <w:r>
        <w:t xml:space="preserve">La constitution fonctionnelle des archives est</w:t>
      </w:r>
      <w:r>
        <w:t xml:space="preserve"> </w:t>
      </w:r>
      <w:r>
        <w:rPr>
          <w:bCs/>
          <w:b/>
        </w:rPr>
        <w:t xml:space="preserve">hors du périmètre</w:t>
      </w:r>
      <w:r>
        <w:t xml:space="preserve"> </w:t>
      </w:r>
      <w:r>
        <w:t xml:space="preserve">de la stratégie.</w:t>
      </w:r>
    </w:p>
    <w:p>
      <w:pPr>
        <w:pStyle w:val="FirstParagraph"/>
      </w:pPr>
      <w:r>
        <w:t xml:space="preserve">Les données archivées ont une PDMA nulle, une DMIA et une durée de conservation potentiellement très longues. L'inaltérabilité, l'accessibilité et la lisibilité des supports primaires d'archive doivent être garanties jusqu'à la date de péremption des données.</w:t>
      </w:r>
    </w:p>
    <w:p>
      <w:pPr>
        <w:pStyle w:val="BlockText"/>
      </w:pPr>
      <w:r>
        <w:t xml:space="preserve">La</w:t>
      </w:r>
      <w:r>
        <w:t xml:space="preserve"> </w:t>
      </w:r>
      <w:r>
        <w:rPr>
          <w:bCs/>
          <w:b/>
        </w:rPr>
        <w:t xml:space="preserve">sécurisation des supports d'archive</w:t>
      </w:r>
      <w:r>
        <w:t xml:space="preserve"> </w:t>
      </w:r>
      <w:r>
        <w:t xml:space="preserve">fait partie de la stratégie, au même titre que celle des autres supports.</w:t>
      </w:r>
    </w:p>
    <w:bookmarkEnd w:id="61"/>
    <w:bookmarkStart w:id="62" w:name="conservation-longue"/>
    <w:p>
      <w:pPr>
        <w:pStyle w:val="Heading3"/>
      </w:pPr>
      <w:r>
        <w:t xml:space="preserve">6.2.5 Conservation longue</w:t>
      </w:r>
    </w:p>
    <w:p>
      <w:pPr>
        <w:pStyle w:val="FirstParagraph"/>
      </w:pPr>
      <w:r>
        <w:t xml:space="preserve">Une donnée nécessitant une conservation de plusieurs années est sécurisée par une sauvegarde isolée (§5.1, données mortes isolées), afin de prévenir l'illisibilité ou la perte liées à la durée. Une vérification périodique de relecture et un plan de migration des formats et des supports sont à prévoir.</w:t>
      </w:r>
    </w:p>
    <w:bookmarkEnd w:id="62"/>
    <w:bookmarkStart w:id="63" w:name="X4aef8e569f3092bd8198b00c2342b50230da727"/>
    <w:p>
      <w:pPr>
        <w:pStyle w:val="Heading3"/>
      </w:pPr>
      <w:r>
        <w:t xml:space="preserve">6.2.6 Données hébergées en SaaS ou en cloud public</w:t>
      </w:r>
      <w:r>
        <w:t xml:space="preserve"> </w:t>
      </w:r>
      <w:r>
        <w:rPr>
          <w:iCs/>
          <w:i/>
        </w:rPr>
        <w:t xml:space="preserve">(ajout)</w:t>
      </w:r>
    </w:p>
    <w:p>
      <w:pPr>
        <w:pStyle w:val="FirstParagraph"/>
      </w:pPr>
      <w:r>
        <w:t xml:space="preserve">Les services SaaS et cloud reposent sur un</w:t>
      </w:r>
      <w:r>
        <w:t xml:space="preserve"> </w:t>
      </w:r>
      <w:r>
        <w:rPr>
          <w:bCs/>
          <w:b/>
        </w:rPr>
        <w:t xml:space="preserve">modèle de responsabilité partagée</w:t>
      </w:r>
      <w:r>
        <w:t xml:space="preserve"> </w:t>
      </w:r>
      <w:r>
        <w:t xml:space="preserve">: le fournisseur garantit généralement la disponibilité de son service, rarement la restauration des données du client après suppression, corruption ou chiffrement initié depuis un compte légitime.</w:t>
      </w:r>
    </w:p>
    <w:p>
      <w:pPr>
        <w:pStyle w:val="BlockText"/>
      </w:pPr>
      <w:r>
        <w:t xml:space="preserve">Toute donnée métier hébergée en SaaS ou en cloud public entre dans le périmètre de l'OGS. Pour chaque service, la couverture contractuelle du fournisseur est analysée ; l'écart est comblé par une sauvegarde tierce ou par une OSS.</w:t>
      </w:r>
    </w:p>
    <w:p>
      <w:pPr>
        <w:pStyle w:val="FirstParagraph"/>
      </w:pPr>
      <w:r>
        <w:rPr>
          <w:bCs/>
          <w:b/>
        </w:rPr>
        <w:t xml:space="preserve">[À COMPLÉTER]</w:t>
      </w:r>
      <w:r>
        <w:t xml:space="preserve"> </w:t>
      </w:r>
      <w:r>
        <w:t xml:space="preserve">— Inventaire des services concernés (messagerie et suite collaborative, CRM, plateformes PaaS…) et solution retenue pour chacun.</w:t>
      </w:r>
    </w:p>
    <w:bookmarkEnd w:id="63"/>
    <w:bookmarkEnd w:id="64"/>
    <w:bookmarkStart w:id="67" w:name="sur-les-dysfonctionnements"/>
    <w:p>
      <w:pPr>
        <w:pStyle w:val="Heading2"/>
      </w:pPr>
      <w:r>
        <w:t xml:space="preserve">6.3 Sur les dysfonctionnements</w:t>
      </w:r>
    </w:p>
    <w:bookmarkStart w:id="65" w:name="sinistre-total"/>
    <w:p>
      <w:pPr>
        <w:pStyle w:val="Heading3"/>
      </w:pPr>
      <w:r>
        <w:t xml:space="preserve">6.3.1 Sinistre total</w:t>
      </w:r>
    </w:p>
    <w:p>
      <w:pPr>
        <w:pStyle w:val="FirstParagraph"/>
      </w:pPr>
      <w:r>
        <w:t xml:space="preserve">⚠ Le sinistre total — perte simultanée des données vivantes et de leurs sauvegardes sur l'ensemble des sites d'hébergement</w:t>
      </w:r>
      <w:r>
        <w:t xml:space="preserve"> </w:t>
      </w:r>
      <w:r>
        <w:rPr>
          <w:bCs/>
          <w:b/>
        </w:rPr>
        <w:t xml:space="preserve">et</w:t>
      </w:r>
      <w:r>
        <w:t xml:space="preserve"> </w:t>
      </w:r>
      <w:r>
        <w:t xml:space="preserve">dans le coffre isolé (</w:t>
      </w:r>
      <w:r>
        <w:rPr>
          <w:rStyle w:val="VerbatimChar"/>
          <w:b/>
          <w:color w:val="8A5A00"/>
        </w:rPr>
        <w:t xml:space="preserve">{{PRESTATAIRE_COFFRE}}</w:t>
      </w:r>
      <w:r>
        <w:t xml:space="preserve">) — est</w:t>
      </w:r>
      <w:r>
        <w:t xml:space="preserve"> </w:t>
      </w:r>
      <w:r>
        <w:rPr>
          <w:bCs/>
          <w:b/>
        </w:rPr>
        <w:t xml:space="preserve">hors périmètre</w:t>
      </w:r>
      <w:r>
        <w:t xml:space="preserve"> </w:t>
      </w:r>
      <w:r>
        <w:t xml:space="preserve">de la stratégie.</w:t>
      </w:r>
    </w:p>
    <w:p>
      <w:pPr>
        <w:pStyle w:val="BlockText"/>
      </w:pPr>
      <w:r>
        <w:t xml:space="preserve">Cette exclusion constitue une</w:t>
      </w:r>
      <w:r>
        <w:t xml:space="preserve"> </w:t>
      </w:r>
      <w:r>
        <w:rPr>
          <w:bCs/>
          <w:b/>
        </w:rPr>
        <w:t xml:space="preserve">acceptation de risque</w:t>
      </w:r>
      <w:r>
        <w:t xml:space="preserve">. Elle est formellement validée par la direction générale, ou par l'instance qui porte l'appétence au risque de</w:t>
      </w:r>
      <w:r>
        <w:t xml:space="preserve"> </w:t>
      </w:r>
      <w:r>
        <w:rPr>
          <w:rStyle w:val="VerbatimChar"/>
          <w:b/>
          <w:color w:val="8A5A00"/>
        </w:rPr>
        <w:t xml:space="preserve">{{ORGANISATION}}</w:t>
      </w:r>
      <w:r>
        <w:t xml:space="preserve">, et revue chaque année</w:t>
      </w:r>
      <w:r>
        <w:t xml:space="preserve"> </w:t>
      </w:r>
      <w:r>
        <w:rPr>
          <w:bCs/>
          <w:b/>
        </w:rPr>
        <w:t xml:space="preserve">[À COMPLÉTER : instance et date de validation]</w:t>
      </w:r>
      <w:r>
        <w:t xml:space="preserve">.</w:t>
      </w:r>
    </w:p>
    <w:bookmarkEnd w:id="65"/>
    <w:bookmarkStart w:id="66" w:name="corruption-des-données"/>
    <w:p>
      <w:pPr>
        <w:pStyle w:val="Heading3"/>
      </w:pPr>
      <w:r>
        <w:t xml:space="preserve">6.3.2 Corruption des données</w:t>
      </w:r>
    </w:p>
    <w:p>
      <w:pPr>
        <w:pStyle w:val="BlockText"/>
      </w:pPr>
      <w:r>
        <w:t xml:space="preserve">La corruption de données équivaut à une indisponibilité et déclenche l'application des principes de la présente stratégie.</w:t>
      </w:r>
    </w:p>
    <w:p>
      <w:pPr>
        <w:pStyle w:val="FirstParagraph"/>
      </w:pPr>
      <w:r>
        <w:t xml:space="preserve">La DSI garantit l'efficacité des procédures de sauvegarde et de restauration pour en assurer l'utilisabilité en cas d'incident ou de sinistre.</w:t>
      </w:r>
    </w:p>
    <w:p>
      <w:pPr>
        <w:pStyle w:val="BlockText"/>
      </w:pPr>
      <w:r>
        <w:t xml:space="preserve">La validation de l'intégrité des procédures de sauvegarde et de restauration (§9.2.1) fait partie intégrante de la stratégie.</w:t>
      </w:r>
    </w:p>
    <w:p>
      <w:pPr>
        <w:pStyle w:val="BlockText"/>
      </w:pPr>
      <w:r>
        <w:t xml:space="preserve">La corruption n'étant pas toujours détectée immédiatement,</w:t>
      </w:r>
      <w:r>
        <w:t xml:space="preserve"> </w:t>
      </w:r>
      <w:r>
        <w:rPr>
          <w:bCs/>
          <w:b/>
        </w:rPr>
        <w:t xml:space="preserve">le délai probable entre corruption et détection</w:t>
      </w:r>
      <w:r>
        <w:t xml:space="preserve"> </w:t>
      </w:r>
      <w:r>
        <w:t xml:space="preserve">doit être pris en compte pour dimensionner la profondeur des sauvegardes.</w:t>
      </w:r>
    </w:p>
    <w:bookmarkEnd w:id="66"/>
    <w:bookmarkEnd w:id="67"/>
    <w:bookmarkEnd w:id="68"/>
    <w:bookmarkStart w:id="81" w:name="gouvernance"/>
    <w:p>
      <w:pPr>
        <w:pStyle w:val="Heading1"/>
      </w:pPr>
      <w:r>
        <w:t xml:space="preserve">7. Gouvernance</w:t>
      </w:r>
    </w:p>
    <w:p>
      <w:pPr>
        <w:pStyle w:val="BlockText"/>
      </w:pPr>
      <w:r>
        <w:t xml:space="preserve">Avant toute mise en œuvre opérationnelle ou technique, la stratégie s'assure qu'une gouvernance adaptée est en place, garantissant le maintien en condition opérationnelle et une démarche d'amélioration continue.</w:t>
      </w:r>
    </w:p>
    <w:bookmarkStart w:id="69" w:name="rôles"/>
    <w:p>
      <w:pPr>
        <w:pStyle w:val="Heading2"/>
      </w:pPr>
      <w:r>
        <w:t xml:space="preserve">7.1 Rôles</w:t>
      </w:r>
    </w:p>
    <w:p>
      <w:pPr>
        <w:pStyle w:val="FirstParagraph"/>
      </w:pPr>
      <w:r>
        <w:t xml:space="preserve">L'affectation nominative des rôles figure en Annexe B.</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2" w:type="dxa"/>
        <w:tblLayout w:type="fixed"/>
      </w:tblPr>
      <w:tblGrid>
        <w:gridCol w:w="4706"/>
        <w:gridCol w:w="4706"/>
      </w:tblGrid>
      <w:tr>
        <w:trPr>
          <w:tblHeader w:val="true"/>
          <w:tblHeader w:val="true"/>
          <w:cantSplit w:val="true"/>
        </w:trPr>
        <w:tc>
          <w:tcPr>
            <w:tcW w:w="4706" w:type="dxa"/>
            <w:shd w:val="clear" w:color="auto" w:fill="1F3A5F"/>
          </w:tcPr>
          <w:p>
            <w:pPr>
              <w:pStyle w:val="Compact"/>
              <w:spacing w:after="20" w:before="20"/>
              <w:jc w:val="left"/>
            </w:pPr>
            <w:r>
              <w:rPr>
                <w:b/>
                <w:color w:val="FFFFFF"/>
                <w:sz w:val="18"/>
              </w:rPr>
              <w:t xml:space="preserve">Rôle</w:t>
            </w:r>
          </w:p>
        </w:tc>
        <w:tc>
          <w:tcPr>
            <w:tcW w:w="4706" w:type="dxa"/>
            <w:shd w:val="clear" w:color="auto" w:fill="1F3A5F"/>
          </w:tcPr>
          <w:p>
            <w:pPr>
              <w:pStyle w:val="Compact"/>
              <w:spacing w:after="20" w:before="20"/>
              <w:jc w:val="left"/>
            </w:pPr>
            <w:r>
              <w:rPr>
                <w:b/>
                <w:color w:val="FFFFFF"/>
                <w:sz w:val="18"/>
              </w:rPr>
              <w:t xml:space="preserve">Missions principales</w:t>
            </w:r>
          </w:p>
        </w:tc>
      </w:tr>
      <w:tr>
        <w:trPr>
          <w:cantSplit w:val="true"/>
        </w:trPr>
        <w:tc>
          <w:tcPr>
            <w:tcW w:w="4706" w:type="dxa"/>
          </w:tcPr>
          <w:p>
            <w:pPr>
              <w:pStyle w:val="Compact"/>
              <w:spacing w:after="20" w:before="20"/>
              <w:jc w:val="left"/>
            </w:pPr>
            <w:r>
              <w:rPr>
                <w:bCs/>
                <w:b/>
                <w:sz w:val="18"/>
              </w:rPr>
              <w:t xml:space="preserve">Propriétaires métier (MÉT)</w:t>
            </w:r>
            <w:r>
              <w:rPr>
                <w:sz w:val="18"/>
              </w:rPr>
              <w:t xml:space="preserve"> </w:t>
            </w:r>
            <w:r>
              <w:rPr>
                <w:sz w:val="18"/>
              </w:rPr>
              <w:t xml:space="preserve">— responsables des activités prioritaires identifiées par la BIA</w:t>
            </w:r>
          </w:p>
        </w:tc>
        <w:tc>
          <w:tcPr>
            <w:tcW w:w="4706" w:type="dxa"/>
          </w:tcPr>
          <w:p>
            <w:pPr>
              <w:pStyle w:val="Compact"/>
              <w:spacing w:after="20" w:before="20"/>
              <w:jc w:val="left"/>
            </w:pPr>
            <w:r>
              <w:rPr>
                <w:sz w:val="18"/>
              </w:rPr>
              <w:t xml:space="preserve">Exprimer les besoins de disponibilité et de perte de données tolérables · Valider les engagements DMIA / PDMA de l'OGS · Demander et financer les Offres Spécifiques · Décider, pour leur périmètre, du déclenchement du secours (phase 4 du §5.2) · Valider les résultats des exercices · Recevoir le reporting sur le respect des engagements</w:t>
            </w:r>
          </w:p>
        </w:tc>
      </w:tr>
      <w:tr>
        <w:trPr>
          <w:cantSplit w:val="true"/>
        </w:trPr>
        <w:tc>
          <w:tcPr>
            <w:tcW w:w="4706" w:type="dxa"/>
            <w:shd w:val="clear" w:color="auto" w:fill="EEF2F6"/>
          </w:tcPr>
          <w:p>
            <w:pPr>
              <w:pStyle w:val="Compact"/>
              <w:spacing w:after="20" w:before="20"/>
              <w:jc w:val="left"/>
            </w:pPr>
            <w:r>
              <w:rPr>
                <w:bCs/>
                <w:b/>
                <w:sz w:val="18"/>
              </w:rPr>
              <w:t xml:space="preserve">Directeur des Systèmes d'Information (DSI)</w:t>
            </w:r>
          </w:p>
        </w:tc>
        <w:tc>
          <w:tcPr>
            <w:tcW w:w="4706" w:type="dxa"/>
            <w:shd w:val="clear" w:color="auto" w:fill="EEF2F6"/>
          </w:tcPr>
          <w:p>
            <w:pPr>
              <w:pStyle w:val="Compact"/>
              <w:spacing w:after="20" w:before="20"/>
              <w:jc w:val="left"/>
            </w:pPr>
            <w:r>
              <w:rPr>
                <w:sz w:val="18"/>
              </w:rPr>
              <w:t xml:space="preserve">Mandater le DIO sur le respect de la politique de sauvegarde · Informer le DIO et le RPCI des évolutions planifiées · Aligner la gouvernance et les moyens physiques, logistiques et humains sur les besoins</w:t>
            </w:r>
          </w:p>
        </w:tc>
      </w:tr>
      <w:tr>
        <w:trPr>
          <w:cantSplit w:val="true"/>
        </w:trPr>
        <w:tc>
          <w:tcPr>
            <w:tcW w:w="4706" w:type="dxa"/>
          </w:tcPr>
          <w:p>
            <w:pPr>
              <w:pStyle w:val="Compact"/>
              <w:spacing w:after="20" w:before="20"/>
              <w:jc w:val="left"/>
            </w:pPr>
            <w:r>
              <w:rPr>
                <w:bCs/>
                <w:b/>
                <w:sz w:val="18"/>
              </w:rPr>
              <w:t xml:space="preserve">Responsable de la Sécurité des SI (RSSI)</w:t>
            </w:r>
          </w:p>
        </w:tc>
        <w:tc>
          <w:tcPr>
            <w:tcW w:w="4706" w:type="dxa"/>
          </w:tcPr>
          <w:p>
            <w:pPr>
              <w:pStyle w:val="Compact"/>
              <w:spacing w:after="20" w:before="20"/>
              <w:jc w:val="left"/>
            </w:pPr>
            <w:r>
              <w:rPr>
                <w:sz w:val="18"/>
              </w:rPr>
              <w:t xml:space="preserve">Communiquer la PSSI · Aligner les programmes de sécurisation · S'assurer du respect de la PSSI</w:t>
            </w:r>
          </w:p>
        </w:tc>
      </w:tr>
      <w:tr>
        <w:trPr>
          <w:cantSplit w:val="true"/>
        </w:trPr>
        <w:tc>
          <w:tcPr>
            <w:tcW w:w="4706" w:type="dxa"/>
            <w:shd w:val="clear" w:color="auto" w:fill="EEF2F6"/>
          </w:tcPr>
          <w:p>
            <w:pPr>
              <w:pStyle w:val="Compact"/>
              <w:spacing w:after="20" w:before="20"/>
              <w:jc w:val="left"/>
            </w:pPr>
            <w:r>
              <w:rPr>
                <w:bCs/>
                <w:b/>
                <w:sz w:val="18"/>
              </w:rPr>
              <w:t xml:space="preserve">Directeur des Infrastructures et des Opérations (DIO)</w:t>
            </w:r>
          </w:p>
        </w:tc>
        <w:tc>
          <w:tcPr>
            <w:tcW w:w="4706" w:type="dxa"/>
            <w:shd w:val="clear" w:color="auto" w:fill="EEF2F6"/>
          </w:tcPr>
          <w:p>
            <w:pPr>
              <w:pStyle w:val="Compact"/>
              <w:spacing w:after="20" w:before="20"/>
              <w:jc w:val="left"/>
            </w:pPr>
            <w:r>
              <w:rPr>
                <w:sz w:val="18"/>
              </w:rPr>
              <w:t xml:space="preserve">Organiser, sous l'impulsion du DSI, la conception et la mise en œuvre d'une stratégie de sauvegarde pérenne, alignée sur la PSSI · Prendre en compte les remontées du RPCI · Transmettre au DSI les besoins d'évolution (gouvernance, moyens) · Produire le reporting stratégique à destination du DSI</w:t>
            </w:r>
          </w:p>
        </w:tc>
      </w:tr>
      <w:tr>
        <w:trPr>
          <w:cantSplit w:val="true"/>
        </w:trPr>
        <w:tc>
          <w:tcPr>
            <w:tcW w:w="4706" w:type="dxa"/>
          </w:tcPr>
          <w:p>
            <w:pPr>
              <w:pStyle w:val="Compact"/>
              <w:spacing w:after="20" w:before="20"/>
              <w:jc w:val="left"/>
            </w:pPr>
            <w:r>
              <w:rPr>
                <w:bCs/>
                <w:b/>
                <w:sz w:val="18"/>
              </w:rPr>
              <w:t xml:space="preserve">Responsable du Plan de Continuité Informatique (RPCI)</w:t>
            </w:r>
          </w:p>
        </w:tc>
        <w:tc>
          <w:tcPr>
            <w:tcW w:w="4706" w:type="dxa"/>
          </w:tcPr>
          <w:p>
            <w:pPr>
              <w:pStyle w:val="Compact"/>
              <w:spacing w:after="20" w:before="20"/>
              <w:jc w:val="left"/>
            </w:pPr>
            <w:r>
              <w:rPr>
                <w:sz w:val="18"/>
              </w:rPr>
              <w:t xml:space="preserve">Établir et faire évoluer la stratégie · Définir le PCI · Sensibiliser les intervenants · Veiller à l'application opérationnelle de la stratégie · Organiser son suivi · Piloter opérationnellement les exercices · Suivre les écarts d'application · Piloter les solutions de secours en cas de sinistre · Produire le reporting tactique à destination du RSSI et du DIO</w:t>
            </w:r>
          </w:p>
        </w:tc>
      </w:tr>
      <w:tr>
        <w:trPr>
          <w:cantSplit w:val="true"/>
        </w:trPr>
        <w:tc>
          <w:tcPr>
            <w:tcW w:w="4706" w:type="dxa"/>
            <w:shd w:val="clear" w:color="auto" w:fill="EEF2F6"/>
          </w:tcPr>
          <w:p>
            <w:pPr>
              <w:pStyle w:val="Compact"/>
              <w:spacing w:after="20" w:before="20"/>
              <w:jc w:val="left"/>
            </w:pPr>
            <w:r>
              <w:rPr>
                <w:bCs/>
                <w:b/>
                <w:sz w:val="18"/>
              </w:rPr>
              <w:t xml:space="preserve">Responsable de Production (RPROD)</w:t>
            </w:r>
          </w:p>
        </w:tc>
        <w:tc>
          <w:tcPr>
            <w:tcW w:w="4706" w:type="dxa"/>
            <w:shd w:val="clear" w:color="auto" w:fill="EEF2F6"/>
          </w:tcPr>
          <w:p>
            <w:pPr>
              <w:pStyle w:val="Compact"/>
              <w:spacing w:after="20" w:before="20"/>
              <w:jc w:val="left"/>
            </w:pPr>
            <w:r>
              <w:rPr>
                <w:sz w:val="18"/>
              </w:rPr>
              <w:t xml:space="preserve">Intégrer les principes et règles de la stratégie · Les traduire en méthodes et procédures opérationnelles · Sensibiliser ses équipes, les AdMP et les AdSv · Veiller au respect des méthodes et règles · Suivre les incidents de sauvegarde et de restauration · Produire le reporting opérationnel à destination du DSI, du DIO et du RPCI</w:t>
            </w:r>
          </w:p>
        </w:tc>
      </w:tr>
      <w:tr>
        <w:trPr>
          <w:cantSplit w:val="true"/>
        </w:trPr>
        <w:tc>
          <w:tcPr>
            <w:tcW w:w="4706" w:type="dxa"/>
          </w:tcPr>
          <w:p>
            <w:pPr>
              <w:pStyle w:val="Compact"/>
              <w:spacing w:after="20" w:before="20"/>
              <w:jc w:val="left"/>
            </w:pPr>
            <w:r>
              <w:rPr>
                <w:bCs/>
                <w:b/>
                <w:sz w:val="18"/>
              </w:rPr>
              <w:t xml:space="preserve">Responsable du Plan de Continuité d'Activité (RPCA)</w:t>
            </w:r>
          </w:p>
        </w:tc>
        <w:tc>
          <w:tcPr>
            <w:tcW w:w="4706" w:type="dxa"/>
          </w:tcPr>
          <w:p>
            <w:pPr>
              <w:pStyle w:val="Compact"/>
              <w:spacing w:after="20" w:before="20"/>
              <w:jc w:val="left"/>
            </w:pPr>
            <w:r>
              <w:rPr>
                <w:sz w:val="18"/>
              </w:rPr>
              <w:t xml:space="preserve">Établir les critères de sécurité applicables aux services métier · Décrire à haut niveau les scénarios de secours informatique · Organiser les exercices de validation · Animer les comités de continuité</w:t>
            </w:r>
          </w:p>
        </w:tc>
      </w:tr>
      <w:tr>
        <w:trPr>
          <w:cantSplit w:val="true"/>
        </w:trPr>
        <w:tc>
          <w:tcPr>
            <w:tcW w:w="4706" w:type="dxa"/>
            <w:shd w:val="clear" w:color="auto" w:fill="EEF2F6"/>
          </w:tcPr>
          <w:p>
            <w:pPr>
              <w:pStyle w:val="Compact"/>
              <w:spacing w:after="20" w:before="20"/>
              <w:jc w:val="left"/>
            </w:pPr>
            <w:r>
              <w:rPr>
                <w:bCs/>
                <w:b/>
                <w:sz w:val="18"/>
              </w:rPr>
              <w:t xml:space="preserve">Directeur de l'Architecture (DARCH)</w:t>
            </w:r>
          </w:p>
        </w:tc>
        <w:tc>
          <w:tcPr>
            <w:tcW w:w="4706" w:type="dxa"/>
            <w:shd w:val="clear" w:color="auto" w:fill="EEF2F6"/>
          </w:tcPr>
          <w:p>
            <w:pPr>
              <w:pStyle w:val="Compact"/>
              <w:spacing w:after="20" w:before="20"/>
              <w:jc w:val="left"/>
            </w:pPr>
            <w:r>
              <w:rPr>
                <w:sz w:val="18"/>
              </w:rPr>
              <w:t xml:space="preserve">Prendre en compte les besoins de disponibilité et de continuité des métiers · Concevoir les évolutions de l'infrastructure et des services pour y répondre</w:t>
            </w:r>
          </w:p>
        </w:tc>
      </w:tr>
      <w:tr>
        <w:trPr>
          <w:cantSplit w:val="true"/>
        </w:trPr>
        <w:tc>
          <w:tcPr>
            <w:tcW w:w="4706" w:type="dxa"/>
          </w:tcPr>
          <w:p>
            <w:pPr>
              <w:pStyle w:val="Compact"/>
              <w:spacing w:after="20" w:before="20"/>
              <w:jc w:val="left"/>
            </w:pPr>
            <w:r>
              <w:rPr>
                <w:bCs/>
                <w:b/>
                <w:sz w:val="18"/>
              </w:rPr>
              <w:t xml:space="preserve">Administrateur des moyens de production (AdMP)</w:t>
            </w:r>
          </w:p>
        </w:tc>
        <w:tc>
          <w:tcPr>
            <w:tcW w:w="4706" w:type="dxa"/>
          </w:tcPr>
          <w:p>
            <w:pPr>
              <w:pStyle w:val="Compact"/>
              <w:spacing w:after="20" w:before="20"/>
              <w:jc w:val="left"/>
            </w:pPr>
            <w:r>
              <w:rPr>
                <w:sz w:val="18"/>
              </w:rPr>
              <w:t xml:space="preserve">Mettre en œuvre les méthodes conformément à la stratégie · Instruire les incidents affectant le plan de sauvegarde · Fournir les éléments du reporting opérationnel · Établir le plan de capacité des moyens de sauvegarde et de restauration</w:t>
            </w:r>
          </w:p>
        </w:tc>
      </w:tr>
      <w:tr>
        <w:trPr>
          <w:cantSplit w:val="true"/>
        </w:trPr>
        <w:tc>
          <w:tcPr>
            <w:tcW w:w="4706" w:type="dxa"/>
            <w:shd w:val="clear" w:color="auto" w:fill="EEF2F6"/>
          </w:tcPr>
          <w:p>
            <w:pPr>
              <w:pStyle w:val="Compact"/>
              <w:spacing w:after="20" w:before="20"/>
              <w:jc w:val="left"/>
            </w:pPr>
            <w:r>
              <w:rPr>
                <w:bCs/>
                <w:b/>
                <w:sz w:val="18"/>
              </w:rPr>
              <w:t xml:space="preserve">Administrateur de sauvegardes (AdSv)</w:t>
            </w:r>
          </w:p>
        </w:tc>
        <w:tc>
          <w:tcPr>
            <w:tcW w:w="4706" w:type="dxa"/>
            <w:shd w:val="clear" w:color="auto" w:fill="EEF2F6"/>
          </w:tcPr>
          <w:p>
            <w:pPr>
              <w:pStyle w:val="Compact"/>
              <w:spacing w:after="20" w:before="20"/>
              <w:jc w:val="left"/>
            </w:pPr>
            <w:r>
              <w:rPr>
                <w:sz w:val="18"/>
              </w:rPr>
              <w:t xml:space="preserve">Établir les procédures opérationnelles du plan de sauvegarde · Garantir l'opérabilité des moyens de sauvegarde et de restauration · Instruire les incidents de sauvegarde et de restauration · Réaliser les restaurations demandées par les métiers · Contribuer au plan de capacité</w:t>
            </w:r>
          </w:p>
        </w:tc>
      </w:tr>
    </w:tbl>
    <w:bookmarkEnd w:id="69"/>
    <w:bookmarkStart w:id="70" w:name="responsabilités-raci"/>
    <w:p>
      <w:pPr>
        <w:pStyle w:val="Heading2"/>
      </w:pPr>
      <w:r>
        <w:t xml:space="preserve">7.2 Responsabilités (RACI)</w:t>
      </w:r>
    </w:p>
    <w:p>
      <w:pPr>
        <w:pStyle w:val="FirstParagraph"/>
      </w:pPr>
      <w:r>
        <w:t xml:space="preserve">Les responsabilités sont présentées selon une</w:t>
      </w:r>
      <w:r>
        <w:t xml:space="preserve"> </w:t>
      </w:r>
      <w:r>
        <w:rPr>
          <w:bCs/>
          <w:b/>
        </w:rPr>
        <w:t xml:space="preserve">matrice RACI au format français</w:t>
      </w:r>
      <w:r>
        <w:t xml:space="preserve"> </w:t>
      </w:r>
      <w:r>
        <w:t xml:space="preserve">:</w:t>
      </w:r>
    </w:p>
    <w:p>
      <w:pPr>
        <w:numPr>
          <w:ilvl w:val="0"/>
          <w:numId w:val="1029"/>
        </w:numPr>
        <w:pStyle w:val="Compact"/>
      </w:pPr>
      <w:r>
        <w:rPr>
          <w:bCs/>
          <w:b/>
        </w:rPr>
        <w:t xml:space="preserve">R — Responsable</w:t>
      </w:r>
      <w:r>
        <w:t xml:space="preserve"> </w:t>
      </w:r>
      <w:r>
        <w:t xml:space="preserve">: rend compte de l'activité auprès des instances et garantit la cohérence de son organisation ;</w:t>
      </w:r>
    </w:p>
    <w:p>
      <w:pPr>
        <w:numPr>
          <w:ilvl w:val="0"/>
          <w:numId w:val="1029"/>
        </w:numPr>
        <w:pStyle w:val="Compact"/>
      </w:pPr>
      <w:r>
        <w:rPr>
          <w:bCs/>
          <w:b/>
        </w:rPr>
        <w:t xml:space="preserve">A — Acteur</w:t>
      </w:r>
      <w:r>
        <w:t xml:space="preserve"> </w:t>
      </w:r>
      <w:r>
        <w:t xml:space="preserve">: exécute ou fait exécuter l'activité conformément à la stratégie ;</w:t>
      </w:r>
    </w:p>
    <w:p>
      <w:pPr>
        <w:numPr>
          <w:ilvl w:val="0"/>
          <w:numId w:val="1029"/>
        </w:numPr>
        <w:pStyle w:val="Compact"/>
      </w:pPr>
      <w:r>
        <w:rPr>
          <w:bCs/>
          <w:b/>
        </w:rPr>
        <w:t xml:space="preserve">C — Consulté</w:t>
      </w:r>
      <w:r>
        <w:t xml:space="preserve"> </w:t>
      </w:r>
      <w:r>
        <w:t xml:space="preserve">: avant ou pendant l'exécution ;</w:t>
      </w:r>
    </w:p>
    <w:p>
      <w:pPr>
        <w:numPr>
          <w:ilvl w:val="0"/>
          <w:numId w:val="1029"/>
        </w:numPr>
        <w:pStyle w:val="Compact"/>
      </w:pPr>
      <w:r>
        <w:rPr>
          <w:bCs/>
          <w:b/>
        </w:rPr>
        <w:t xml:space="preserve">I — Informé</w:t>
      </w:r>
      <w:r>
        <w:t xml:space="preserve"> </w:t>
      </w:r>
      <w:r>
        <w:t xml:space="preserve">: reçoit les informations utiles.</w:t>
      </w:r>
    </w:p>
    <w:p>
      <w:pPr>
        <w:pStyle w:val="FirstParagraph"/>
      </w:pPr>
      <w:r>
        <w:t xml:space="preserve">La colonne</w:t>
      </w:r>
      <w:r>
        <w:t xml:space="preserve"> </w:t>
      </w:r>
      <w:r>
        <w:rPr>
          <w:bCs/>
          <w:b/>
        </w:rPr>
        <w:t xml:space="preserve">MÉT</w:t>
      </w:r>
      <w:r>
        <w:t xml:space="preserve"> </w:t>
      </w:r>
      <w:r>
        <w:t xml:space="preserve">désigne les propriétaires métier des activités concernées. Leur présence est délibérée : ce sont eux qui fixent les seuils, financent les offres spécifiques et valident les exercices.</w:t>
      </w:r>
    </w:p>
    <w:p>
      <w:pPr>
        <w:pStyle w:val="BodyText"/>
      </w:pPr>
      <w:r>
        <w:t xml:space="preserve">⚠ Dans le format anglo-saxon,</w:t>
      </w:r>
      <w:r>
        <w:t xml:space="preserve"> </w:t>
      </w:r>
      <w:r>
        <w:rPr>
          <w:bCs/>
          <w:b/>
        </w:rPr>
        <w:t xml:space="preserve">A</w:t>
      </w:r>
      <w:r>
        <w:t xml:space="preserve"> </w:t>
      </w:r>
      <w:r>
        <w:t xml:space="preserve">signifie</w:t>
      </w:r>
      <w:r>
        <w:t xml:space="preserve"> </w:t>
      </w:r>
      <w:r>
        <w:rPr>
          <w:iCs/>
          <w:i/>
        </w:rPr>
        <w:t xml:space="preserve">Accountable</w:t>
      </w:r>
      <w:r>
        <w:t xml:space="preserve"> </w:t>
      </w:r>
      <w:r>
        <w:t xml:space="preserve">(redevable) et</w:t>
      </w:r>
      <w:r>
        <w:t xml:space="preserve"> </w:t>
      </w:r>
      <w:r>
        <w:rPr>
          <w:bCs/>
          <w:b/>
        </w:rPr>
        <w:t xml:space="preserve">R</w:t>
      </w:r>
      <w:r>
        <w:t xml:space="preserve"> </w:t>
      </w:r>
      <w:r>
        <w:rPr>
          <w:iCs/>
          <w:i/>
        </w:rPr>
        <w:t xml:space="preserve">Responsible</w:t>
      </w:r>
      <w:r>
        <w:t xml:space="preserve"> </w:t>
      </w:r>
      <w:r>
        <w:t xml:space="preserve">(exécutant) : les lettres sont inversées. À préciser lors de toute diffusion à des interlocuteurs internationaux.</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04" w:type="dxa"/>
        <w:tblLayout w:type="fixed"/>
      </w:tblPr>
      <w:tblGrid>
        <w:gridCol w:w="3764"/>
        <w:gridCol w:w="564"/>
        <w:gridCol w:w="564"/>
        <w:gridCol w:w="564"/>
        <w:gridCol w:w="564"/>
        <w:gridCol w:w="564"/>
        <w:gridCol w:w="564"/>
        <w:gridCol w:w="564"/>
        <w:gridCol w:w="564"/>
        <w:gridCol w:w="564"/>
        <w:gridCol w:w="564"/>
      </w:tblGrid>
      <w:tr>
        <w:trPr>
          <w:tblHeader w:val="true"/>
          <w:tblHeader w:val="true"/>
          <w:cantSplit w:val="true"/>
        </w:trPr>
        <w:tc>
          <w:tcPr>
            <w:tcW w:w="3764" w:type="dxa"/>
            <w:shd w:val="clear" w:color="auto" w:fill="1F3A5F"/>
          </w:tcPr>
          <w:p>
            <w:pPr>
              <w:pStyle w:val="Compact"/>
              <w:spacing w:after="20" w:before="20"/>
              <w:jc w:val="left"/>
            </w:pPr>
            <w:r>
              <w:rPr>
                <w:b/>
                <w:color w:val="FFFFFF"/>
                <w:sz w:val="16"/>
              </w:rPr>
              <w:t xml:space="preserve">Activité</w:t>
            </w:r>
          </w:p>
        </w:tc>
        <w:tc>
          <w:tcPr>
            <w:tcW w:w="564" w:type="dxa"/>
            <w:shd w:val="clear" w:color="auto" w:fill="1F3A5F"/>
          </w:tcPr>
          <w:p>
            <w:pPr>
              <w:pStyle w:val="Compact"/>
              <w:spacing w:after="20" w:before="20"/>
              <w:jc w:val="center"/>
            </w:pPr>
            <w:r>
              <w:rPr>
                <w:b/>
                <w:color w:val="FFFFFF"/>
                <w:sz w:val="16"/>
              </w:rPr>
              <w:t xml:space="preserve">MÉT</w:t>
            </w:r>
          </w:p>
        </w:tc>
        <w:tc>
          <w:tcPr>
            <w:tcW w:w="564" w:type="dxa"/>
            <w:shd w:val="clear" w:color="auto" w:fill="1F3A5F"/>
          </w:tcPr>
          <w:p>
            <w:pPr>
              <w:pStyle w:val="Compact"/>
              <w:spacing w:after="20" w:before="20"/>
              <w:jc w:val="center"/>
            </w:pPr>
            <w:r>
              <w:rPr>
                <w:b/>
                <w:color w:val="FFFFFF"/>
                <w:sz w:val="16"/>
              </w:rPr>
              <w:t xml:space="preserve">DSI</w:t>
            </w:r>
          </w:p>
        </w:tc>
        <w:tc>
          <w:tcPr>
            <w:tcW w:w="564" w:type="dxa"/>
            <w:shd w:val="clear" w:color="auto" w:fill="1F3A5F"/>
          </w:tcPr>
          <w:p>
            <w:pPr>
              <w:pStyle w:val="Compact"/>
              <w:spacing w:after="20" w:before="20"/>
              <w:jc w:val="center"/>
            </w:pPr>
            <w:r>
              <w:rPr>
                <w:b/>
                <w:color w:val="FFFFFF"/>
                <w:sz w:val="16"/>
              </w:rPr>
              <w:t xml:space="preserve">RSSI</w:t>
            </w:r>
          </w:p>
        </w:tc>
        <w:tc>
          <w:tcPr>
            <w:tcW w:w="564" w:type="dxa"/>
            <w:shd w:val="clear" w:color="auto" w:fill="1F3A5F"/>
          </w:tcPr>
          <w:p>
            <w:pPr>
              <w:pStyle w:val="Compact"/>
              <w:spacing w:after="20" w:before="20"/>
              <w:jc w:val="center"/>
            </w:pPr>
            <w:r>
              <w:rPr>
                <w:b/>
                <w:color w:val="FFFFFF"/>
                <w:sz w:val="16"/>
              </w:rPr>
              <w:t xml:space="preserve">DIO</w:t>
            </w:r>
          </w:p>
        </w:tc>
        <w:tc>
          <w:tcPr>
            <w:tcW w:w="564" w:type="dxa"/>
            <w:shd w:val="clear" w:color="auto" w:fill="1F3A5F"/>
          </w:tcPr>
          <w:p>
            <w:pPr>
              <w:pStyle w:val="Compact"/>
              <w:spacing w:after="20" w:before="20"/>
              <w:jc w:val="center"/>
            </w:pPr>
            <w:r>
              <w:rPr>
                <w:b/>
                <w:color w:val="FFFFFF"/>
                <w:sz w:val="16"/>
              </w:rPr>
              <w:t xml:space="preserve">RPCI</w:t>
            </w:r>
          </w:p>
        </w:tc>
        <w:tc>
          <w:tcPr>
            <w:tcW w:w="564" w:type="dxa"/>
            <w:shd w:val="clear" w:color="auto" w:fill="1F3A5F"/>
          </w:tcPr>
          <w:p>
            <w:pPr>
              <w:pStyle w:val="Compact"/>
              <w:spacing w:after="20" w:before="20"/>
              <w:jc w:val="center"/>
            </w:pPr>
            <w:r>
              <w:rPr>
                <w:b/>
                <w:color w:val="FFFFFF"/>
                <w:sz w:val="16"/>
              </w:rPr>
              <w:t xml:space="preserve">RPROD</w:t>
            </w:r>
          </w:p>
        </w:tc>
        <w:tc>
          <w:tcPr>
            <w:tcW w:w="564" w:type="dxa"/>
            <w:shd w:val="clear" w:color="auto" w:fill="1F3A5F"/>
          </w:tcPr>
          <w:p>
            <w:pPr>
              <w:pStyle w:val="Compact"/>
              <w:spacing w:after="20" w:before="20"/>
              <w:jc w:val="center"/>
            </w:pPr>
            <w:r>
              <w:rPr>
                <w:b/>
                <w:color w:val="FFFFFF"/>
                <w:sz w:val="16"/>
              </w:rPr>
              <w:t xml:space="preserve">RPCA</w:t>
            </w:r>
          </w:p>
        </w:tc>
        <w:tc>
          <w:tcPr>
            <w:tcW w:w="564" w:type="dxa"/>
            <w:shd w:val="clear" w:color="auto" w:fill="1F3A5F"/>
          </w:tcPr>
          <w:p>
            <w:pPr>
              <w:pStyle w:val="Compact"/>
              <w:spacing w:after="20" w:before="20"/>
              <w:jc w:val="center"/>
            </w:pPr>
            <w:r>
              <w:rPr>
                <w:b/>
                <w:color w:val="FFFFFF"/>
                <w:sz w:val="16"/>
              </w:rPr>
              <w:t xml:space="preserve">DARCH</w:t>
            </w:r>
          </w:p>
        </w:tc>
        <w:tc>
          <w:tcPr>
            <w:tcW w:w="564" w:type="dxa"/>
            <w:shd w:val="clear" w:color="auto" w:fill="1F3A5F"/>
          </w:tcPr>
          <w:p>
            <w:pPr>
              <w:pStyle w:val="Compact"/>
              <w:spacing w:after="20" w:before="20"/>
              <w:jc w:val="center"/>
            </w:pPr>
            <w:r>
              <w:rPr>
                <w:b/>
                <w:color w:val="FFFFFF"/>
                <w:sz w:val="16"/>
              </w:rPr>
              <w:t xml:space="preserve">AdMP</w:t>
            </w:r>
          </w:p>
        </w:tc>
        <w:tc>
          <w:tcPr>
            <w:tcW w:w="564" w:type="dxa"/>
            <w:shd w:val="clear" w:color="auto" w:fill="1F3A5F"/>
          </w:tcPr>
          <w:p>
            <w:pPr>
              <w:pStyle w:val="Compact"/>
              <w:spacing w:after="20" w:before="20"/>
              <w:jc w:val="center"/>
            </w:pPr>
            <w:r>
              <w:rPr>
                <w:b/>
                <w:color w:val="FFFFFF"/>
                <w:sz w:val="16"/>
              </w:rPr>
              <w:t xml:space="preserve">AdSv</w:t>
            </w:r>
          </w:p>
        </w:tc>
      </w:tr>
      <w:tr>
        <w:trPr>
          <w:cantSplit w:val="true"/>
        </w:trPr>
        <w:tc>
          <w:tcPr>
            <w:tcW w:w="3764" w:type="dxa"/>
            <w:shd w:val="clear" w:color="auto" w:fill="DCE3EC"/>
          </w:tcPr>
          <w:p>
            <w:pPr>
              <w:pStyle w:val="Compact"/>
              <w:spacing w:after="20" w:before="20"/>
              <w:jc w:val="left"/>
            </w:pPr>
            <w:r>
              <w:rPr>
                <w:bCs/>
                <w:b/>
                <w:sz w:val="16"/>
              </w:rPr>
              <w:t xml:space="preserve">Politique</w:t>
            </w: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r>
      <w:tr>
        <w:trPr>
          <w:cantSplit w:val="true"/>
        </w:trPr>
        <w:tc>
          <w:tcPr>
            <w:tcW w:w="3764" w:type="dxa"/>
            <w:shd w:val="clear" w:color="auto" w:fill="EEF2F6"/>
          </w:tcPr>
          <w:p>
            <w:pPr>
              <w:pStyle w:val="Compact"/>
              <w:spacing w:after="20" w:before="20"/>
              <w:jc w:val="left"/>
            </w:pPr>
            <w:r>
              <w:rPr>
                <w:sz w:val="16"/>
              </w:rPr>
              <w:t xml:space="preserve">Communiquer la politique de sauvegarde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r>
      <w:tr>
        <w:trPr>
          <w:cantSplit w:val="true"/>
        </w:trPr>
        <w:tc>
          <w:tcPr>
            <w:tcW w:w="3764" w:type="dxa"/>
          </w:tcPr>
          <w:p>
            <w:pPr>
              <w:pStyle w:val="Compact"/>
              <w:spacing w:after="20" w:before="20"/>
              <w:jc w:val="left"/>
            </w:pPr>
            <w:r>
              <w:rPr>
                <w:sz w:val="16"/>
              </w:rPr>
              <w:t xml:space="preserve">Mettre en place l'organisation et les moyens permettant le respect de la politique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r>
      <w:tr>
        <w:trPr>
          <w:cantSplit w:val="true"/>
        </w:trPr>
        <w:tc>
          <w:tcPr>
            <w:tcW w:w="3764" w:type="dxa"/>
            <w:shd w:val="clear" w:color="auto" w:fill="EEF2F6"/>
          </w:tcPr>
          <w:p>
            <w:pPr>
              <w:pStyle w:val="Compact"/>
              <w:spacing w:after="20" w:before="20"/>
              <w:jc w:val="left"/>
            </w:pPr>
            <w:r>
              <w:rPr>
                <w:sz w:val="16"/>
              </w:rPr>
              <w:t xml:space="preserve">Mandater le DIO sur le respect de la politique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r>
      <w:tr>
        <w:trPr>
          <w:cantSplit w:val="true"/>
        </w:trPr>
        <w:tc>
          <w:tcPr>
            <w:tcW w:w="3764" w:type="dxa"/>
          </w:tcPr>
          <w:p>
            <w:pPr>
              <w:pStyle w:val="Compact"/>
              <w:spacing w:after="20" w:before="20"/>
              <w:jc w:val="left"/>
            </w:pPr>
            <w:r>
              <w:rPr>
                <w:sz w:val="16"/>
              </w:rPr>
              <w:t xml:space="preserve">Aligner la gouvernance et les moyens sur les besoins</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R</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A</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r>
      <w:tr>
        <w:trPr>
          <w:cantSplit w:val="true"/>
        </w:trPr>
        <w:tc>
          <w:tcPr>
            <w:tcW w:w="3764" w:type="dxa"/>
            <w:shd w:val="clear" w:color="auto" w:fill="EEF2F6"/>
          </w:tcPr>
          <w:p>
            <w:pPr>
              <w:pStyle w:val="Compact"/>
              <w:spacing w:after="20" w:before="20"/>
              <w:jc w:val="left"/>
            </w:pPr>
            <w:r>
              <w:rPr>
                <w:sz w:val="16"/>
              </w:rPr>
              <w:t xml:space="preserve">S'assurer du respect de la politique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A</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r>
      <w:tr>
        <w:trPr>
          <w:cantSplit w:val="true"/>
        </w:trPr>
        <w:tc>
          <w:tcPr>
            <w:tcW w:w="3764" w:type="dxa"/>
            <w:shd w:val="clear" w:color="auto" w:fill="DCE3EC"/>
          </w:tcPr>
          <w:p>
            <w:pPr>
              <w:pStyle w:val="Compact"/>
              <w:spacing w:after="20" w:before="20"/>
              <w:jc w:val="left"/>
            </w:pPr>
            <w:r>
              <w:rPr>
                <w:bCs/>
                <w:b/>
                <w:sz w:val="16"/>
              </w:rPr>
              <w:t xml:space="preserve">Stratégie</w:t>
            </w: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r>
      <w:tr>
        <w:trPr>
          <w:cantSplit w:val="true"/>
        </w:trPr>
        <w:tc>
          <w:tcPr>
            <w:tcW w:w="3764" w:type="dxa"/>
            <w:shd w:val="clear" w:color="auto" w:fill="EEF2F6"/>
          </w:tcPr>
          <w:p>
            <w:pPr>
              <w:pStyle w:val="Compact"/>
              <w:spacing w:after="20" w:before="20"/>
              <w:jc w:val="left"/>
            </w:pPr>
            <w:r>
              <w:rPr>
                <w:sz w:val="16"/>
              </w:rPr>
              <w:t xml:space="preserve">Organiser la conception et la mise en œuvre d'une stratégie pérenne alignée sur la PSSI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R</w:t>
            </w:r>
          </w:p>
        </w:tc>
        <w:tc>
          <w:tcPr>
            <w:tcW w:w="564" w:type="dxa"/>
            <w:shd w:val="clear" w:color="auto" w:fill="EEF2F6"/>
          </w:tcPr>
          <w:p>
            <w:pPr>
              <w:pStyle w:val="Compact"/>
              <w:spacing w:after="20" w:before="20"/>
              <w:jc w:val="center"/>
            </w:pPr>
            <w:r>
              <w:rPr>
                <w:sz w:val="16"/>
              </w:rPr>
              <w:t xml:space="preserve">A</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r>
      <w:tr>
        <w:trPr>
          <w:cantSplit w:val="true"/>
        </w:trPr>
        <w:tc>
          <w:tcPr>
            <w:tcW w:w="3764" w:type="dxa"/>
          </w:tcPr>
          <w:p>
            <w:pPr>
              <w:pStyle w:val="Compact"/>
              <w:spacing w:after="20" w:before="20"/>
              <w:jc w:val="left"/>
            </w:pPr>
            <w:r>
              <w:rPr>
                <w:sz w:val="16"/>
              </w:rPr>
              <w:t xml:space="preserve">Établir la stratégie de sauvegarde</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r>
      <w:tr>
        <w:trPr>
          <w:cantSplit w:val="true"/>
        </w:trPr>
        <w:tc>
          <w:tcPr>
            <w:tcW w:w="3764" w:type="dxa"/>
            <w:shd w:val="clear" w:color="auto" w:fill="EEF2F6"/>
          </w:tcPr>
          <w:p>
            <w:pPr>
              <w:pStyle w:val="Compact"/>
              <w:spacing w:after="20" w:before="20"/>
              <w:jc w:val="left"/>
            </w:pPr>
            <w:r>
              <w:rPr>
                <w:sz w:val="16"/>
              </w:rPr>
              <w:t xml:space="preserve">Définir le Plan de Continuité Informatique</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R</w:t>
            </w:r>
          </w:p>
        </w:tc>
        <w:tc>
          <w:tcPr>
            <w:tcW w:w="564" w:type="dxa"/>
            <w:shd w:val="clear" w:color="auto" w:fill="EEF2F6"/>
          </w:tcPr>
          <w:p>
            <w:pPr>
              <w:pStyle w:val="Compact"/>
              <w:spacing w:after="20" w:before="20"/>
              <w:jc w:val="center"/>
            </w:pPr>
            <w:r>
              <w:rPr>
                <w:sz w:val="16"/>
              </w:rPr>
              <w:t xml:space="preserve">A</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r>
      <w:tr>
        <w:trPr>
          <w:cantSplit w:val="true"/>
        </w:trPr>
        <w:tc>
          <w:tcPr>
            <w:tcW w:w="3764" w:type="dxa"/>
          </w:tcPr>
          <w:p>
            <w:pPr>
              <w:pStyle w:val="Compact"/>
              <w:spacing w:after="20" w:before="20"/>
              <w:jc w:val="left"/>
            </w:pPr>
            <w:r>
              <w:rPr>
                <w:sz w:val="16"/>
              </w:rPr>
              <w:t xml:space="preserve">Organiser le suivi de la stratégie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r>
      <w:tr>
        <w:trPr>
          <w:cantSplit w:val="true"/>
        </w:trPr>
        <w:tc>
          <w:tcPr>
            <w:tcW w:w="3764" w:type="dxa"/>
            <w:shd w:val="clear" w:color="auto" w:fill="EEF2F6"/>
          </w:tcPr>
          <w:p>
            <w:pPr>
              <w:pStyle w:val="Compact"/>
              <w:spacing w:after="20" w:before="20"/>
              <w:jc w:val="left"/>
            </w:pPr>
            <w:r>
              <w:rPr>
                <w:sz w:val="16"/>
              </w:rPr>
              <w:t xml:space="preserve">Veiller à l'application opérationnelle de la stratégie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A</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r>
      <w:tr>
        <w:trPr>
          <w:cantSplit w:val="true"/>
        </w:trPr>
        <w:tc>
          <w:tcPr>
            <w:tcW w:w="3764" w:type="dxa"/>
          </w:tcPr>
          <w:p>
            <w:pPr>
              <w:pStyle w:val="Compact"/>
              <w:spacing w:after="20" w:before="20"/>
              <w:jc w:val="left"/>
            </w:pPr>
            <w:r>
              <w:rPr>
                <w:sz w:val="16"/>
              </w:rPr>
              <w:t xml:space="preserve">Établir les critères de disponibilité des données applicables aux services métier</w:t>
            </w:r>
          </w:p>
        </w:tc>
        <w:tc>
          <w:tcPr>
            <w:tcW w:w="564" w:type="dxa"/>
          </w:tcPr>
          <w:p>
            <w:pPr>
              <w:pStyle w:val="Compact"/>
              <w:spacing w:after="20" w:before="20"/>
              <w:jc w:val="center"/>
            </w:pPr>
            <w:r>
              <w:rPr>
                <w:sz w:val="16"/>
              </w:rPr>
              <w:t xml:space="preserve">A</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R</w:t>
            </w:r>
          </w:p>
        </w:tc>
        <w:tc>
          <w:tcPr>
            <w:tcW w:w="564" w:type="dxa"/>
          </w:tcPr>
          <w:p>
            <w:pPr>
              <w:pStyle w:val="Compact"/>
              <w:spacing w:after="20" w:before="20"/>
              <w:jc w:val="center"/>
            </w:pPr>
            <w:r>
              <w:rPr>
                <w:sz w:val="16"/>
              </w:rPr>
              <w:t xml:space="preserve">A</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A</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r>
      <w:tr>
        <w:trPr>
          <w:cantSplit w:val="true"/>
        </w:trPr>
        <w:tc>
          <w:tcPr>
            <w:tcW w:w="3764" w:type="dxa"/>
            <w:shd w:val="clear" w:color="auto" w:fill="EEF2F6"/>
          </w:tcPr>
          <w:p>
            <w:pPr>
              <w:pStyle w:val="Compact"/>
              <w:spacing w:after="20" w:before="20"/>
              <w:jc w:val="left"/>
            </w:pPr>
            <w:r>
              <w:rPr>
                <w:sz w:val="16"/>
              </w:rPr>
              <w:t xml:space="preserve">Valider les engagements DMIA / PDMA de l'OGS</w:t>
            </w:r>
            <w:r>
              <w:rPr>
                <w:sz w:val="16"/>
              </w:rPr>
              <w:t xml:space="preserve"> </w:t>
            </w:r>
            <w:r>
              <w:rPr>
                <w:iCs/>
                <w:i/>
                <w:sz w:val="16"/>
              </w:rPr>
              <w:t xml:space="preserve">(ajout)</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r>
      <w:tr>
        <w:trPr>
          <w:cantSplit w:val="true"/>
        </w:trPr>
        <w:tc>
          <w:tcPr>
            <w:tcW w:w="3764" w:type="dxa"/>
          </w:tcPr>
          <w:p>
            <w:pPr>
              <w:pStyle w:val="Compact"/>
              <w:spacing w:after="20" w:before="20"/>
              <w:jc w:val="left"/>
            </w:pPr>
            <w:r>
              <w:rPr>
                <w:sz w:val="16"/>
              </w:rPr>
              <w:t xml:space="preserve">Demander et financer une Offre Spécifique</w:t>
            </w:r>
            <w:r>
              <w:rPr>
                <w:sz w:val="16"/>
              </w:rPr>
              <w:t xml:space="preserve"> </w:t>
            </w:r>
            <w:r>
              <w:rPr>
                <w:iCs/>
                <w:i/>
                <w:sz w:val="16"/>
              </w:rPr>
              <w:t xml:space="preserve">(ajout)</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A</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r>
      <w:tr>
        <w:trPr>
          <w:cantSplit w:val="true"/>
        </w:trPr>
        <w:tc>
          <w:tcPr>
            <w:tcW w:w="3764" w:type="dxa"/>
            <w:shd w:val="clear" w:color="auto" w:fill="DCE3EC"/>
          </w:tcPr>
          <w:p>
            <w:pPr>
              <w:pStyle w:val="Compact"/>
              <w:spacing w:after="20" w:before="20"/>
              <w:jc w:val="left"/>
            </w:pPr>
            <w:r>
              <w:rPr>
                <w:bCs/>
                <w:b/>
                <w:sz w:val="16"/>
              </w:rPr>
              <w:t xml:space="preserve">Programme</w:t>
            </w: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r>
      <w:tr>
        <w:trPr>
          <w:cantSplit w:val="true"/>
        </w:trPr>
        <w:tc>
          <w:tcPr>
            <w:tcW w:w="3764" w:type="dxa"/>
          </w:tcPr>
          <w:p>
            <w:pPr>
              <w:pStyle w:val="Compact"/>
              <w:spacing w:after="20" w:before="20"/>
              <w:jc w:val="left"/>
            </w:pPr>
            <w:r>
              <w:rPr>
                <w:sz w:val="16"/>
              </w:rPr>
              <w:t xml:space="preserve">Aligner les programmes de sécurisation</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r>
      <w:tr>
        <w:trPr>
          <w:cantSplit w:val="true"/>
        </w:trPr>
        <w:tc>
          <w:tcPr>
            <w:tcW w:w="3764" w:type="dxa"/>
            <w:shd w:val="clear" w:color="auto" w:fill="EEF2F6"/>
          </w:tcPr>
          <w:p>
            <w:pPr>
              <w:pStyle w:val="Compact"/>
              <w:spacing w:after="20" w:before="20"/>
              <w:jc w:val="left"/>
            </w:pPr>
            <w:r>
              <w:rPr>
                <w:sz w:val="16"/>
              </w:rPr>
              <w:t xml:space="preserve">Informer le DIO et le RPCI des évolutions planifiées</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r>
      <w:tr>
        <w:trPr>
          <w:cantSplit w:val="true"/>
        </w:trPr>
        <w:tc>
          <w:tcPr>
            <w:tcW w:w="3764" w:type="dxa"/>
          </w:tcPr>
          <w:p>
            <w:pPr>
              <w:pStyle w:val="Compact"/>
              <w:spacing w:after="20" w:before="20"/>
              <w:jc w:val="left"/>
            </w:pPr>
            <w:r>
              <w:rPr>
                <w:sz w:val="16"/>
              </w:rPr>
              <w:t xml:space="preserve">Intégrer les besoins de disponibilité et de continuité dans le programme d'architecture</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A</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R</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r>
      <w:tr>
        <w:trPr>
          <w:cantSplit w:val="true"/>
        </w:trPr>
        <w:tc>
          <w:tcPr>
            <w:tcW w:w="3764" w:type="dxa"/>
            <w:shd w:val="clear" w:color="auto" w:fill="EEF2F6"/>
          </w:tcPr>
          <w:p>
            <w:pPr>
              <w:pStyle w:val="Compact"/>
              <w:spacing w:after="20" w:before="20"/>
              <w:jc w:val="left"/>
            </w:pPr>
            <w:r>
              <w:rPr>
                <w:sz w:val="16"/>
              </w:rPr>
              <w:t xml:space="preserve">Concevoir les évolutions de l'infrastructure pour répondre à ces besoins</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r>
      <w:tr>
        <w:trPr>
          <w:cantSplit w:val="true"/>
        </w:trPr>
        <w:tc>
          <w:tcPr>
            <w:tcW w:w="3764" w:type="dxa"/>
            <w:shd w:val="clear" w:color="auto" w:fill="DCE3EC"/>
          </w:tcPr>
          <w:p>
            <w:pPr>
              <w:pStyle w:val="Compact"/>
              <w:spacing w:after="20" w:before="20"/>
              <w:jc w:val="left"/>
            </w:pPr>
            <w:r>
              <w:rPr>
                <w:bCs/>
                <w:b/>
                <w:sz w:val="16"/>
              </w:rPr>
              <w:t xml:space="preserve">Opérations</w:t>
            </w: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r>
      <w:tr>
        <w:trPr>
          <w:cantSplit w:val="true"/>
        </w:trPr>
        <w:tc>
          <w:tcPr>
            <w:tcW w:w="3764" w:type="dxa"/>
            <w:shd w:val="clear" w:color="auto" w:fill="EEF2F6"/>
          </w:tcPr>
          <w:p>
            <w:pPr>
              <w:pStyle w:val="Compact"/>
              <w:spacing w:after="20" w:before="20"/>
              <w:jc w:val="left"/>
            </w:pPr>
            <w:r>
              <w:rPr>
                <w:sz w:val="16"/>
              </w:rPr>
              <w:t xml:space="preserve">Intégrer les principes et règles de la stratégie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r>
      <w:tr>
        <w:trPr>
          <w:cantSplit w:val="true"/>
        </w:trPr>
        <w:tc>
          <w:tcPr>
            <w:tcW w:w="3764" w:type="dxa"/>
          </w:tcPr>
          <w:p>
            <w:pPr>
              <w:pStyle w:val="Compact"/>
              <w:spacing w:after="20" w:before="20"/>
              <w:jc w:val="left"/>
            </w:pPr>
            <w:r>
              <w:rPr>
                <w:sz w:val="16"/>
              </w:rPr>
              <w:t xml:space="preserve">Traduire la stratégie en méthodes et procédures opérationnelles</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R</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A</w:t>
            </w:r>
          </w:p>
        </w:tc>
        <w:tc>
          <w:tcPr>
            <w:tcW w:w="564" w:type="dxa"/>
          </w:tcPr>
          <w:p>
            <w:pPr>
              <w:pStyle w:val="Compact"/>
              <w:spacing w:after="20" w:before="20"/>
              <w:jc w:val="center"/>
            </w:pPr>
            <w:r>
              <w:rPr>
                <w:sz w:val="16"/>
              </w:rPr>
              <w:t xml:space="preserve">A</w:t>
            </w:r>
          </w:p>
        </w:tc>
      </w:tr>
      <w:tr>
        <w:trPr>
          <w:cantSplit w:val="true"/>
        </w:trPr>
        <w:tc>
          <w:tcPr>
            <w:tcW w:w="3764" w:type="dxa"/>
            <w:shd w:val="clear" w:color="auto" w:fill="EEF2F6"/>
          </w:tcPr>
          <w:p>
            <w:pPr>
              <w:pStyle w:val="Compact"/>
              <w:spacing w:after="20" w:before="20"/>
              <w:jc w:val="left"/>
            </w:pPr>
            <w:r>
              <w:rPr>
                <w:sz w:val="16"/>
              </w:rPr>
              <w:t xml:space="preserve">Veiller au respect des méthodes et règles</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r>
      <w:tr>
        <w:trPr>
          <w:cantSplit w:val="true"/>
        </w:trPr>
        <w:tc>
          <w:tcPr>
            <w:tcW w:w="3764" w:type="dxa"/>
          </w:tcPr>
          <w:p>
            <w:pPr>
              <w:pStyle w:val="Compact"/>
              <w:spacing w:after="20" w:before="20"/>
              <w:jc w:val="left"/>
            </w:pPr>
            <w:r>
              <w:rPr>
                <w:sz w:val="16"/>
              </w:rPr>
              <w:t xml:space="preserve">Mettre en œuvre les méthodes conformément à la stratégie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C</w:t>
            </w:r>
          </w:p>
        </w:tc>
      </w:tr>
      <w:tr>
        <w:trPr>
          <w:cantSplit w:val="true"/>
        </w:trPr>
        <w:tc>
          <w:tcPr>
            <w:tcW w:w="3764" w:type="dxa"/>
            <w:shd w:val="clear" w:color="auto" w:fill="EEF2F6"/>
          </w:tcPr>
          <w:p>
            <w:pPr>
              <w:pStyle w:val="Compact"/>
              <w:spacing w:after="20" w:before="20"/>
              <w:jc w:val="left"/>
            </w:pPr>
            <w:r>
              <w:rPr>
                <w:sz w:val="16"/>
              </w:rPr>
              <w:t xml:space="preserve">Établir les procédures opérationnelles du plan de sauvegarde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A</w:t>
            </w:r>
          </w:p>
        </w:tc>
        <w:tc>
          <w:tcPr>
            <w:tcW w:w="564" w:type="dxa"/>
            <w:shd w:val="clear" w:color="auto" w:fill="EEF2F6"/>
          </w:tcPr>
          <w:p>
            <w:pPr>
              <w:pStyle w:val="Compact"/>
              <w:spacing w:after="20" w:before="20"/>
              <w:jc w:val="center"/>
            </w:pPr>
            <w:r>
              <w:rPr>
                <w:sz w:val="16"/>
              </w:rPr>
              <w:t xml:space="preserve">AR</w:t>
            </w:r>
          </w:p>
        </w:tc>
      </w:tr>
      <w:tr>
        <w:trPr>
          <w:cantSplit w:val="true"/>
        </w:trPr>
        <w:tc>
          <w:tcPr>
            <w:tcW w:w="3764" w:type="dxa"/>
          </w:tcPr>
          <w:p>
            <w:pPr>
              <w:pStyle w:val="Compact"/>
              <w:spacing w:after="20" w:before="20"/>
              <w:jc w:val="left"/>
            </w:pPr>
            <w:r>
              <w:rPr>
                <w:sz w:val="16"/>
              </w:rPr>
              <w:t xml:space="preserve">Réaliser les restaurations à la demande des métiers</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A</w:t>
            </w:r>
          </w:p>
        </w:tc>
        <w:tc>
          <w:tcPr>
            <w:tcW w:w="564" w:type="dxa"/>
          </w:tcPr>
          <w:p>
            <w:pPr>
              <w:pStyle w:val="Compact"/>
              <w:spacing w:after="20" w:before="20"/>
              <w:jc w:val="center"/>
            </w:pPr>
            <w:r>
              <w:rPr>
                <w:sz w:val="16"/>
              </w:rPr>
              <w:t xml:space="preserve">AR</w:t>
            </w:r>
          </w:p>
        </w:tc>
      </w:tr>
      <w:tr>
        <w:trPr>
          <w:cantSplit w:val="true"/>
        </w:trPr>
        <w:tc>
          <w:tcPr>
            <w:tcW w:w="3764" w:type="dxa"/>
            <w:shd w:val="clear" w:color="auto" w:fill="EEF2F6"/>
          </w:tcPr>
          <w:p>
            <w:pPr>
              <w:pStyle w:val="Compact"/>
              <w:spacing w:after="20" w:before="20"/>
              <w:jc w:val="left"/>
            </w:pPr>
            <w:r>
              <w:rPr>
                <w:sz w:val="16"/>
              </w:rPr>
              <w:t xml:space="preserve">Garantir l'opérabilité des moyens de sauvegarde et de restauration</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A</w:t>
            </w:r>
          </w:p>
        </w:tc>
        <w:tc>
          <w:tcPr>
            <w:tcW w:w="564" w:type="dxa"/>
            <w:shd w:val="clear" w:color="auto" w:fill="EEF2F6"/>
          </w:tcPr>
          <w:p>
            <w:pPr>
              <w:pStyle w:val="Compact"/>
              <w:spacing w:after="20" w:before="20"/>
              <w:jc w:val="center"/>
            </w:pPr>
            <w:r>
              <w:rPr>
                <w:sz w:val="16"/>
              </w:rPr>
              <w:t xml:space="preserve">AR</w:t>
            </w:r>
          </w:p>
        </w:tc>
      </w:tr>
      <w:tr>
        <w:trPr>
          <w:cantSplit w:val="true"/>
        </w:trPr>
        <w:tc>
          <w:tcPr>
            <w:tcW w:w="3764" w:type="dxa"/>
            <w:shd w:val="clear" w:color="auto" w:fill="DCE3EC"/>
          </w:tcPr>
          <w:p>
            <w:pPr>
              <w:pStyle w:val="Compact"/>
              <w:spacing w:after="20" w:before="20"/>
              <w:jc w:val="left"/>
            </w:pPr>
            <w:r>
              <w:rPr>
                <w:bCs/>
                <w:b/>
                <w:sz w:val="16"/>
              </w:rPr>
              <w:t xml:space="preserve">Validation</w:t>
            </w: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r>
      <w:tr>
        <w:trPr>
          <w:cantSplit w:val="true"/>
        </w:trPr>
        <w:tc>
          <w:tcPr>
            <w:tcW w:w="3764" w:type="dxa"/>
            <w:shd w:val="clear" w:color="auto" w:fill="EEF2F6"/>
          </w:tcPr>
          <w:p>
            <w:pPr>
              <w:pStyle w:val="Compact"/>
              <w:spacing w:after="20" w:before="20"/>
              <w:jc w:val="left"/>
            </w:pPr>
            <w:r>
              <w:rPr>
                <w:sz w:val="16"/>
              </w:rPr>
              <w:t xml:space="preserve">Décrire à haut niveau les scénarios de continuité informatique</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r>
      <w:tr>
        <w:trPr>
          <w:cantSplit w:val="true"/>
        </w:trPr>
        <w:tc>
          <w:tcPr>
            <w:tcW w:w="3764" w:type="dxa"/>
          </w:tcPr>
          <w:p>
            <w:pPr>
              <w:pStyle w:val="Compact"/>
              <w:spacing w:after="20" w:before="20"/>
              <w:jc w:val="left"/>
            </w:pPr>
            <w:r>
              <w:rPr>
                <w:sz w:val="16"/>
              </w:rPr>
              <w:t xml:space="preserve">Organiser les exercices de validation (volet organisationnel)</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A</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R</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r>
      <w:tr>
        <w:trPr>
          <w:cantSplit w:val="true"/>
        </w:trPr>
        <w:tc>
          <w:tcPr>
            <w:tcW w:w="3764" w:type="dxa"/>
            <w:shd w:val="clear" w:color="auto" w:fill="EEF2F6"/>
          </w:tcPr>
          <w:p>
            <w:pPr>
              <w:pStyle w:val="Compact"/>
              <w:spacing w:after="20" w:before="20"/>
              <w:jc w:val="left"/>
            </w:pPr>
            <w:r>
              <w:rPr>
                <w:sz w:val="16"/>
              </w:rPr>
              <w:t xml:space="preserve">Piloter les exercices de validation (volet opérationnel)</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r>
      <w:tr>
        <w:trPr>
          <w:cantSplit w:val="true"/>
        </w:trPr>
        <w:tc>
          <w:tcPr>
            <w:tcW w:w="3764" w:type="dxa"/>
          </w:tcPr>
          <w:p>
            <w:pPr>
              <w:pStyle w:val="Compact"/>
              <w:spacing w:after="20" w:before="20"/>
              <w:jc w:val="left"/>
            </w:pPr>
            <w:r>
              <w:rPr>
                <w:sz w:val="16"/>
              </w:rPr>
              <w:t xml:space="preserve">Piloter les solutions de continuité et de reprise en cas de sinistre</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r>
      <w:tr>
        <w:trPr>
          <w:cantSplit w:val="true"/>
        </w:trPr>
        <w:tc>
          <w:tcPr>
            <w:tcW w:w="3764" w:type="dxa"/>
            <w:shd w:val="clear" w:color="auto" w:fill="EEF2F6"/>
          </w:tcPr>
          <w:p>
            <w:pPr>
              <w:pStyle w:val="Compact"/>
              <w:spacing w:after="20" w:before="20"/>
              <w:jc w:val="left"/>
            </w:pPr>
            <w:r>
              <w:rPr>
                <w:sz w:val="16"/>
              </w:rPr>
              <w:t xml:space="preserve">Décider du déclenchement du secours ou de la restauration (cellule de crise en ILG / IPG)</w:t>
            </w:r>
            <w:r>
              <w:rPr>
                <w:sz w:val="16"/>
              </w:rPr>
              <w:t xml:space="preserve"> </w:t>
            </w:r>
            <w:r>
              <w:rPr>
                <w:iCs/>
                <w:i/>
                <w:sz w:val="16"/>
              </w:rPr>
              <w:t xml:space="preserve">(ajout)</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A</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r>
      <w:tr>
        <w:trPr>
          <w:cantSplit w:val="true"/>
        </w:trPr>
        <w:tc>
          <w:tcPr>
            <w:tcW w:w="3764" w:type="dxa"/>
          </w:tcPr>
          <w:p>
            <w:pPr>
              <w:pStyle w:val="Compact"/>
              <w:spacing w:after="20" w:before="20"/>
              <w:jc w:val="left"/>
            </w:pPr>
            <w:r>
              <w:rPr>
                <w:sz w:val="16"/>
              </w:rPr>
              <w:t xml:space="preserve">Valider les résultats des exercices</w:t>
            </w:r>
            <w:r>
              <w:rPr>
                <w:sz w:val="16"/>
              </w:rPr>
              <w:t xml:space="preserve"> </w:t>
            </w:r>
            <w:r>
              <w:rPr>
                <w:iCs/>
                <w:i/>
                <w:sz w:val="16"/>
              </w:rPr>
              <w:t xml:space="preserve">(ajout)</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r>
      <w:tr>
        <w:trPr>
          <w:cantSplit w:val="true"/>
        </w:trPr>
        <w:tc>
          <w:tcPr>
            <w:tcW w:w="3764" w:type="dxa"/>
            <w:shd w:val="clear" w:color="auto" w:fill="DCE3EC"/>
          </w:tcPr>
          <w:p>
            <w:pPr>
              <w:pStyle w:val="Compact"/>
              <w:spacing w:after="20" w:before="20"/>
              <w:jc w:val="left"/>
            </w:pPr>
            <w:r>
              <w:rPr>
                <w:bCs/>
                <w:b/>
                <w:sz w:val="16"/>
              </w:rPr>
              <w:t xml:space="preserve">Sensibilisation</w:t>
            </w: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r>
      <w:tr>
        <w:trPr>
          <w:cantSplit w:val="true"/>
        </w:trPr>
        <w:tc>
          <w:tcPr>
            <w:tcW w:w="3764" w:type="dxa"/>
          </w:tcPr>
          <w:p>
            <w:pPr>
              <w:pStyle w:val="Compact"/>
              <w:spacing w:after="20" w:before="20"/>
              <w:jc w:val="left"/>
            </w:pPr>
            <w:r>
              <w:rPr>
                <w:sz w:val="16"/>
              </w:rPr>
              <w:t xml:space="preserve">Sensibiliser les intervenants</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r>
      <w:tr>
        <w:trPr>
          <w:cantSplit w:val="true"/>
        </w:trPr>
        <w:tc>
          <w:tcPr>
            <w:tcW w:w="3764" w:type="dxa"/>
            <w:shd w:val="clear" w:color="auto" w:fill="EEF2F6"/>
          </w:tcPr>
          <w:p>
            <w:pPr>
              <w:pStyle w:val="Compact"/>
              <w:spacing w:after="20" w:before="20"/>
              <w:jc w:val="left"/>
            </w:pPr>
            <w:r>
              <w:rPr>
                <w:sz w:val="16"/>
              </w:rPr>
              <w:t xml:space="preserve">Sensibiliser ses collaborateurs</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r>
      <w:tr>
        <w:trPr>
          <w:cantSplit w:val="true"/>
        </w:trPr>
        <w:tc>
          <w:tcPr>
            <w:tcW w:w="3764" w:type="dxa"/>
            <w:shd w:val="clear" w:color="auto" w:fill="DCE3EC"/>
          </w:tcPr>
          <w:p>
            <w:pPr>
              <w:pStyle w:val="Compact"/>
              <w:spacing w:after="20" w:before="20"/>
              <w:jc w:val="left"/>
            </w:pPr>
            <w:r>
              <w:rPr>
                <w:bCs/>
                <w:b/>
                <w:sz w:val="16"/>
              </w:rPr>
              <w:t xml:space="preserve">Reporting</w:t>
            </w: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r>
      <w:tr>
        <w:trPr>
          <w:cantSplit w:val="true"/>
        </w:trPr>
        <w:tc>
          <w:tcPr>
            <w:tcW w:w="3764" w:type="dxa"/>
            <w:shd w:val="clear" w:color="auto" w:fill="EEF2F6"/>
          </w:tcPr>
          <w:p>
            <w:pPr>
              <w:pStyle w:val="Compact"/>
              <w:spacing w:after="20" w:before="20"/>
              <w:jc w:val="left"/>
            </w:pPr>
            <w:r>
              <w:rPr>
                <w:sz w:val="16"/>
              </w:rPr>
              <w:t xml:space="preserve">Animer les comités de continuité d'activité</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r>
      <w:tr>
        <w:trPr>
          <w:cantSplit w:val="true"/>
        </w:trPr>
        <w:tc>
          <w:tcPr>
            <w:tcW w:w="3764" w:type="dxa"/>
          </w:tcPr>
          <w:p>
            <w:pPr>
              <w:pStyle w:val="Compact"/>
              <w:spacing w:after="20" w:before="20"/>
              <w:jc w:val="left"/>
            </w:pPr>
            <w:r>
              <w:rPr>
                <w:sz w:val="16"/>
              </w:rPr>
              <w:t xml:space="preserve">Transmettre au DSI les besoins d'évolution (gouvernance, moyens)</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r>
      <w:tr>
        <w:trPr>
          <w:cantSplit w:val="true"/>
        </w:trPr>
        <w:tc>
          <w:tcPr>
            <w:tcW w:w="3764" w:type="dxa"/>
            <w:shd w:val="clear" w:color="auto" w:fill="EEF2F6"/>
          </w:tcPr>
          <w:p>
            <w:pPr>
              <w:pStyle w:val="Compact"/>
              <w:spacing w:after="20" w:before="20"/>
              <w:jc w:val="left"/>
            </w:pPr>
            <w:r>
              <w:rPr>
                <w:sz w:val="16"/>
              </w:rPr>
              <w:t xml:space="preserve">Prendre en compte les remontées du RPCI</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r>
      <w:tr>
        <w:trPr>
          <w:cantSplit w:val="true"/>
        </w:trPr>
        <w:tc>
          <w:tcPr>
            <w:tcW w:w="3764" w:type="dxa"/>
          </w:tcPr>
          <w:p>
            <w:pPr>
              <w:pStyle w:val="Compact"/>
              <w:spacing w:after="20" w:before="20"/>
              <w:jc w:val="left"/>
            </w:pPr>
            <w:r>
              <w:rPr>
                <w:sz w:val="16"/>
              </w:rPr>
              <w:t xml:space="preserve">Reporting stratégique à destination du DSI</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r>
      <w:tr>
        <w:trPr>
          <w:cantSplit w:val="true"/>
        </w:trPr>
        <w:tc>
          <w:tcPr>
            <w:tcW w:w="3764" w:type="dxa"/>
            <w:shd w:val="clear" w:color="auto" w:fill="EEF2F6"/>
          </w:tcPr>
          <w:p>
            <w:pPr>
              <w:pStyle w:val="Compact"/>
              <w:spacing w:after="20" w:before="20"/>
              <w:jc w:val="left"/>
            </w:pPr>
            <w:r>
              <w:rPr>
                <w:sz w:val="16"/>
              </w:rPr>
              <w:t xml:space="preserve">Reporting tactique à destination du DIO et du RSSI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C</w:t>
            </w:r>
          </w:p>
        </w:tc>
      </w:tr>
      <w:tr>
        <w:trPr>
          <w:cantSplit w:val="true"/>
        </w:trPr>
        <w:tc>
          <w:tcPr>
            <w:tcW w:w="3764" w:type="dxa"/>
          </w:tcPr>
          <w:p>
            <w:pPr>
              <w:pStyle w:val="Compact"/>
              <w:spacing w:after="20" w:before="20"/>
              <w:jc w:val="left"/>
            </w:pPr>
            <w:r>
              <w:rPr>
                <w:sz w:val="16"/>
              </w:rPr>
              <w:t xml:space="preserve">Reporting opérationnel à destination du DSI, du DIO et du RPCI</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r>
      <w:tr>
        <w:trPr>
          <w:cantSplit w:val="true"/>
        </w:trPr>
        <w:tc>
          <w:tcPr>
            <w:tcW w:w="3764" w:type="dxa"/>
            <w:shd w:val="clear" w:color="auto" w:fill="EEF2F6"/>
          </w:tcPr>
          <w:p>
            <w:pPr>
              <w:pStyle w:val="Compact"/>
              <w:spacing w:after="20" w:before="20"/>
              <w:jc w:val="left"/>
            </w:pPr>
            <w:r>
              <w:rPr>
                <w:sz w:val="16"/>
              </w:rPr>
              <w:t xml:space="preserve">Produire les éléments du reporting opérationnel</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r>
      <w:tr>
        <w:trPr>
          <w:cantSplit w:val="true"/>
        </w:trPr>
        <w:tc>
          <w:tcPr>
            <w:tcW w:w="3764" w:type="dxa"/>
            <w:shd w:val="clear" w:color="auto" w:fill="DCE3EC"/>
          </w:tcPr>
          <w:p>
            <w:pPr>
              <w:pStyle w:val="Compact"/>
              <w:spacing w:after="20" w:before="20"/>
              <w:jc w:val="left"/>
            </w:pPr>
            <w:r>
              <w:rPr>
                <w:bCs/>
                <w:b/>
                <w:sz w:val="16"/>
              </w:rPr>
              <w:t xml:space="preserve">Incidents</w:t>
            </w: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r>
      <w:tr>
        <w:trPr>
          <w:cantSplit w:val="true"/>
        </w:trPr>
        <w:tc>
          <w:tcPr>
            <w:tcW w:w="3764" w:type="dxa"/>
            <w:shd w:val="clear" w:color="auto" w:fill="EEF2F6"/>
          </w:tcPr>
          <w:p>
            <w:pPr>
              <w:pStyle w:val="Compact"/>
              <w:spacing w:after="20" w:before="20"/>
              <w:jc w:val="left"/>
            </w:pPr>
            <w:r>
              <w:rPr>
                <w:sz w:val="16"/>
              </w:rPr>
              <w:t xml:space="preserve">Suivre les écarts d'application de la stratégie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r>
      <w:tr>
        <w:trPr>
          <w:cantSplit w:val="true"/>
        </w:trPr>
        <w:tc>
          <w:tcPr>
            <w:tcW w:w="3764" w:type="dxa"/>
          </w:tcPr>
          <w:p>
            <w:pPr>
              <w:pStyle w:val="Compact"/>
              <w:spacing w:after="20" w:before="20"/>
              <w:jc w:val="left"/>
            </w:pPr>
            <w:r>
              <w:rPr>
                <w:sz w:val="16"/>
              </w:rPr>
              <w:t xml:space="preserve">Suivre les incidents de sauvegarde et de restauration</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C</w:t>
            </w:r>
          </w:p>
        </w:tc>
      </w:tr>
      <w:tr>
        <w:trPr>
          <w:cantSplit w:val="true"/>
        </w:trPr>
        <w:tc>
          <w:tcPr>
            <w:tcW w:w="3764" w:type="dxa"/>
            <w:shd w:val="clear" w:color="auto" w:fill="EEF2F6"/>
          </w:tcPr>
          <w:p>
            <w:pPr>
              <w:pStyle w:val="Compact"/>
              <w:spacing w:after="20" w:before="20"/>
              <w:jc w:val="left"/>
            </w:pPr>
            <w:r>
              <w:rPr>
                <w:sz w:val="16"/>
              </w:rPr>
              <w:t xml:space="preserve">Instruire les incidents affectant le plan de sauvegarde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AR</w:t>
            </w:r>
          </w:p>
        </w:tc>
        <w:tc>
          <w:tcPr>
            <w:tcW w:w="564" w:type="dxa"/>
            <w:shd w:val="clear" w:color="auto" w:fill="EEF2F6"/>
          </w:tcPr>
          <w:p>
            <w:pPr>
              <w:pStyle w:val="Compact"/>
              <w:spacing w:after="20" w:before="20"/>
              <w:jc w:val="center"/>
            </w:pPr>
            <w:r>
              <w:rPr>
                <w:sz w:val="16"/>
              </w:rPr>
              <w:t xml:space="preserve">C</w:t>
            </w:r>
          </w:p>
        </w:tc>
      </w:tr>
      <w:tr>
        <w:trPr>
          <w:cantSplit w:val="true"/>
        </w:trPr>
        <w:tc>
          <w:tcPr>
            <w:tcW w:w="3764" w:type="dxa"/>
          </w:tcPr>
          <w:p>
            <w:pPr>
              <w:pStyle w:val="Compact"/>
              <w:spacing w:after="20" w:before="20"/>
              <w:jc w:val="left"/>
            </w:pPr>
            <w:r>
              <w:rPr>
                <w:sz w:val="16"/>
              </w:rPr>
              <w:t xml:space="preserve">Instruire les incidents de sauvegarde et de restauration</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A</w:t>
            </w:r>
          </w:p>
        </w:tc>
        <w:tc>
          <w:tcPr>
            <w:tcW w:w="564" w:type="dxa"/>
          </w:tcPr>
          <w:p>
            <w:pPr>
              <w:pStyle w:val="Compact"/>
              <w:spacing w:after="20" w:before="20"/>
              <w:jc w:val="center"/>
            </w:pPr>
            <w:r>
              <w:rPr>
                <w:sz w:val="16"/>
              </w:rPr>
              <w:t xml:space="preserve">AR</w:t>
            </w:r>
          </w:p>
        </w:tc>
      </w:tr>
      <w:tr>
        <w:trPr>
          <w:cantSplit w:val="true"/>
        </w:trPr>
        <w:tc>
          <w:tcPr>
            <w:tcW w:w="3764" w:type="dxa"/>
            <w:shd w:val="clear" w:color="auto" w:fill="DCE3EC"/>
          </w:tcPr>
          <w:p>
            <w:pPr>
              <w:pStyle w:val="Compact"/>
              <w:spacing w:after="20" w:before="20"/>
              <w:jc w:val="left"/>
            </w:pPr>
            <w:r>
              <w:rPr>
                <w:bCs/>
                <w:b/>
                <w:sz w:val="16"/>
              </w:rPr>
              <w:t xml:space="preserve">Plan de capacité</w:t>
            </w: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c>
          <w:tcPr>
            <w:tcW w:w="564" w:type="dxa"/>
            <w:shd w:val="clear" w:color="auto" w:fill="DCE3EC"/>
          </w:tcPr>
          <w:p>
            <w:pPr>
              <w:pStyle w:val="Compact"/>
              <w:spacing w:after="20" w:before="20"/>
              <w:jc w:val="center"/>
            </w:pPr>
          </w:p>
        </w:tc>
      </w:tr>
      <w:tr>
        <w:trPr>
          <w:cantSplit w:val="true"/>
        </w:trPr>
        <w:tc>
          <w:tcPr>
            <w:tcW w:w="3764" w:type="dxa"/>
          </w:tcPr>
          <w:p>
            <w:pPr>
              <w:pStyle w:val="Compact"/>
              <w:spacing w:after="20" w:before="20"/>
              <w:jc w:val="left"/>
            </w:pPr>
            <w:r>
              <w:rPr>
                <w:sz w:val="16"/>
              </w:rPr>
              <w:t xml:space="preserve">Établir le plan de capacité des moyens de sauvegarde et de restauration</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C</w:t>
            </w:r>
          </w:p>
        </w:tc>
        <w:tc>
          <w:tcPr>
            <w:tcW w:w="564" w:type="dxa"/>
          </w:tcPr>
          <w:p>
            <w:pPr>
              <w:pStyle w:val="Compact"/>
              <w:spacing w:after="20" w:before="20"/>
              <w:jc w:val="center"/>
            </w:pPr>
            <w:r>
              <w:rPr>
                <w:sz w:val="16"/>
              </w:rPr>
              <w:t xml:space="preserve">–</w:t>
            </w:r>
          </w:p>
        </w:tc>
        <w:tc>
          <w:tcPr>
            <w:tcW w:w="564" w:type="dxa"/>
          </w:tcPr>
          <w:p>
            <w:pPr>
              <w:pStyle w:val="Compact"/>
              <w:spacing w:after="20" w:before="20"/>
              <w:jc w:val="center"/>
            </w:pPr>
            <w:r>
              <w:rPr>
                <w:sz w:val="16"/>
              </w:rPr>
              <w:t xml:space="preserve">I</w:t>
            </w:r>
          </w:p>
        </w:tc>
        <w:tc>
          <w:tcPr>
            <w:tcW w:w="564" w:type="dxa"/>
          </w:tcPr>
          <w:p>
            <w:pPr>
              <w:pStyle w:val="Compact"/>
              <w:spacing w:after="20" w:before="20"/>
              <w:jc w:val="center"/>
            </w:pPr>
            <w:r>
              <w:rPr>
                <w:sz w:val="16"/>
              </w:rPr>
              <w:t xml:space="preserve">AR</w:t>
            </w:r>
          </w:p>
        </w:tc>
        <w:tc>
          <w:tcPr>
            <w:tcW w:w="564" w:type="dxa"/>
          </w:tcPr>
          <w:p>
            <w:pPr>
              <w:pStyle w:val="Compact"/>
              <w:spacing w:after="20" w:before="20"/>
              <w:jc w:val="center"/>
            </w:pPr>
            <w:r>
              <w:rPr>
                <w:sz w:val="16"/>
              </w:rPr>
              <w:t xml:space="preserve">C</w:t>
            </w:r>
          </w:p>
        </w:tc>
      </w:tr>
      <w:tr>
        <w:trPr>
          <w:cantSplit w:val="true"/>
        </w:trPr>
        <w:tc>
          <w:tcPr>
            <w:tcW w:w="3764" w:type="dxa"/>
            <w:shd w:val="clear" w:color="auto" w:fill="EEF2F6"/>
          </w:tcPr>
          <w:p>
            <w:pPr>
              <w:pStyle w:val="Compact"/>
              <w:spacing w:after="20" w:before="20"/>
              <w:jc w:val="left"/>
            </w:pPr>
            <w:r>
              <w:rPr>
                <w:sz w:val="16"/>
              </w:rPr>
              <w:t xml:space="preserve">Contribuer au plan de capacité</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I</w:t>
            </w:r>
          </w:p>
        </w:tc>
        <w:tc>
          <w:tcPr>
            <w:tcW w:w="564" w:type="dxa"/>
            <w:shd w:val="clear" w:color="auto" w:fill="EEF2F6"/>
          </w:tcPr>
          <w:p>
            <w:pPr>
              <w:pStyle w:val="Compact"/>
              <w:spacing w:after="20" w:before="20"/>
              <w:jc w:val="center"/>
            </w:pPr>
            <w:r>
              <w:rPr>
                <w:sz w:val="16"/>
              </w:rPr>
              <w:t xml:space="preserve">C</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w:t>
            </w:r>
          </w:p>
        </w:tc>
        <w:tc>
          <w:tcPr>
            <w:tcW w:w="564" w:type="dxa"/>
            <w:shd w:val="clear" w:color="auto" w:fill="EEF2F6"/>
          </w:tcPr>
          <w:p>
            <w:pPr>
              <w:pStyle w:val="Compact"/>
              <w:spacing w:after="20" w:before="20"/>
              <w:jc w:val="center"/>
            </w:pPr>
            <w:r>
              <w:rPr>
                <w:sz w:val="16"/>
              </w:rPr>
              <w:t xml:space="preserve">A</w:t>
            </w:r>
          </w:p>
        </w:tc>
        <w:tc>
          <w:tcPr>
            <w:tcW w:w="564" w:type="dxa"/>
            <w:shd w:val="clear" w:color="auto" w:fill="EEF2F6"/>
          </w:tcPr>
          <w:p>
            <w:pPr>
              <w:pStyle w:val="Compact"/>
              <w:spacing w:after="20" w:before="20"/>
              <w:jc w:val="center"/>
            </w:pPr>
            <w:r>
              <w:rPr>
                <w:sz w:val="16"/>
              </w:rPr>
              <w:t xml:space="preserve">AR</w:t>
            </w:r>
          </w:p>
        </w:tc>
      </w:tr>
    </w:tbl>
    <w:p>
      <w:pPr>
        <w:pStyle w:val="BodyText"/>
      </w:pPr>
      <w:r>
        <w:t xml:space="preserve">La mise en œuvre et sa déclinaison en procédures opérationnelles couvrent :</w:t>
      </w:r>
    </w:p>
    <w:p>
      <w:pPr>
        <w:numPr>
          <w:ilvl w:val="0"/>
          <w:numId w:val="1030"/>
        </w:numPr>
        <w:pStyle w:val="Compact"/>
      </w:pPr>
      <w:r>
        <w:t xml:space="preserve">les périmètres techniques de sauvegarde ;</w:t>
      </w:r>
    </w:p>
    <w:p>
      <w:pPr>
        <w:numPr>
          <w:ilvl w:val="0"/>
          <w:numId w:val="1030"/>
        </w:numPr>
        <w:pStyle w:val="Compact"/>
      </w:pPr>
      <w:r>
        <w:t xml:space="preserve">les modalités d'exécution ;</w:t>
      </w:r>
    </w:p>
    <w:p>
      <w:pPr>
        <w:numPr>
          <w:ilvl w:val="0"/>
          <w:numId w:val="1030"/>
        </w:numPr>
        <w:pStyle w:val="Compact"/>
      </w:pPr>
      <w:r>
        <w:t xml:space="preserve">les supports utilisés ;</w:t>
      </w:r>
    </w:p>
    <w:p>
      <w:pPr>
        <w:numPr>
          <w:ilvl w:val="0"/>
          <w:numId w:val="1030"/>
        </w:numPr>
        <w:pStyle w:val="Compact"/>
      </w:pPr>
      <w:r>
        <w:t xml:space="preserve">le planning des opérations ;</w:t>
      </w:r>
    </w:p>
    <w:p>
      <w:pPr>
        <w:numPr>
          <w:ilvl w:val="0"/>
          <w:numId w:val="1030"/>
        </w:numPr>
        <w:pStyle w:val="Compact"/>
      </w:pPr>
      <w:r>
        <w:t xml:space="preserve">le planning et la fréquence des tests de restauration et de reconstruction.</w:t>
      </w:r>
    </w:p>
    <w:p>
      <w:pPr>
        <w:pStyle w:val="FirstParagraph"/>
      </w:pPr>
      <w:r>
        <w:t xml:space="preserve">La sauvegarde couvre</w:t>
      </w:r>
      <w:r>
        <w:t xml:space="preserve"> </w:t>
      </w:r>
      <w:r>
        <w:rPr>
          <w:bCs/>
          <w:b/>
        </w:rPr>
        <w:t xml:space="preserve">tout le périmètre de la PSSI</w:t>
      </w:r>
      <w:r>
        <w:t xml:space="preserve">, quel que soit l'environnement de stockage des données.</w:t>
      </w:r>
    </w:p>
    <w:bookmarkEnd w:id="70"/>
    <w:bookmarkStart w:id="74" w:name="comitologie"/>
    <w:p>
      <w:pPr>
        <w:pStyle w:val="Heading2"/>
      </w:pPr>
      <w:r>
        <w:t xml:space="preserve">7.3 Comitologie</w:t>
      </w:r>
    </w:p>
    <w:p>
      <w:pPr>
        <w:pStyle w:val="FirstParagraph"/>
      </w:pPr>
      <w:r>
        <w:rPr>
          <w:bCs/>
          <w:b/>
        </w:rPr>
        <w:t xml:space="preserve">[À COMPLÉTER]</w:t>
      </w:r>
      <w:r>
        <w:t xml:space="preserve"> </w:t>
      </w:r>
      <w:r>
        <w:t xml:space="preserve">— Faire correspondre chaque instance ci-dessous à une instance existante de</w:t>
      </w:r>
      <w:r>
        <w:t xml:space="preserve"> </w:t>
      </w:r>
      <w:r>
        <w:rPr>
          <w:rStyle w:val="VerbatimChar"/>
          <w:b/>
          <w:color w:val="8A5A00"/>
        </w:rPr>
        <w:t xml:space="preserve">{{ORGANISATION}}</w:t>
      </w:r>
      <w:r>
        <w:t xml:space="preserve"> </w:t>
      </w:r>
      <w:r>
        <w:t xml:space="preserve">plutôt que d'en créer de nouvelles.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428"/>
        <w:gridCol w:w="2899"/>
        <w:gridCol w:w="1527"/>
        <w:gridCol w:w="1454"/>
        <w:gridCol w:w="2103"/>
      </w:tblGrid>
      <w:tr>
        <w:trPr>
          <w:tblHeader w:val="true"/>
          <w:tblHeader w:val="true"/>
          <w:cantSplit w:val="true"/>
        </w:trPr>
        <w:tc>
          <w:tcPr>
            <w:tcW w:w="1428" w:type="dxa"/>
            <w:shd w:val="clear" w:color="auto" w:fill="1F3A5F"/>
          </w:tcPr>
          <w:p>
            <w:pPr>
              <w:pStyle w:val="Compact"/>
              <w:spacing w:after="20" w:before="20"/>
              <w:jc w:val="left"/>
            </w:pPr>
            <w:r>
              <w:rPr>
                <w:b/>
                <w:color w:val="FFFFFF"/>
                <w:sz w:val="18"/>
              </w:rPr>
              <w:t xml:space="preserve">Niveau</w:t>
            </w:r>
          </w:p>
        </w:tc>
        <w:tc>
          <w:tcPr>
            <w:tcW w:w="2899" w:type="dxa"/>
            <w:shd w:val="clear" w:color="auto" w:fill="1F3A5F"/>
          </w:tcPr>
          <w:p>
            <w:pPr>
              <w:pStyle w:val="Compact"/>
              <w:spacing w:after="20" w:before="20"/>
              <w:jc w:val="left"/>
            </w:pPr>
            <w:r>
              <w:rPr>
                <w:b/>
                <w:color w:val="FFFFFF"/>
                <w:sz w:val="18"/>
              </w:rPr>
              <w:t xml:space="preserve">Instance</w:t>
            </w:r>
          </w:p>
        </w:tc>
        <w:tc>
          <w:tcPr>
            <w:tcW w:w="1527" w:type="dxa"/>
            <w:shd w:val="clear" w:color="auto" w:fill="1F3A5F"/>
          </w:tcPr>
          <w:p>
            <w:pPr>
              <w:pStyle w:val="Compact"/>
              <w:spacing w:after="20" w:before="20"/>
              <w:jc w:val="left"/>
            </w:pPr>
            <w:r>
              <w:rPr>
                <w:b/>
                <w:color w:val="FFFFFF"/>
                <w:sz w:val="18"/>
              </w:rPr>
              <w:t xml:space="preserve">Fréquence</w:t>
            </w:r>
          </w:p>
        </w:tc>
        <w:tc>
          <w:tcPr>
            <w:tcW w:w="1454" w:type="dxa"/>
            <w:shd w:val="clear" w:color="auto" w:fill="1F3A5F"/>
          </w:tcPr>
          <w:p>
            <w:pPr>
              <w:pStyle w:val="Compact"/>
              <w:spacing w:after="20" w:before="20"/>
              <w:jc w:val="left"/>
            </w:pPr>
            <w:r>
              <w:rPr>
                <w:b/>
                <w:color w:val="FFFFFF"/>
                <w:sz w:val="18"/>
              </w:rPr>
              <w:t xml:space="preserve">Pilote</w:t>
            </w:r>
          </w:p>
        </w:tc>
        <w:tc>
          <w:tcPr>
            <w:tcW w:w="2103" w:type="dxa"/>
            <w:shd w:val="clear" w:color="auto" w:fill="1F3A5F"/>
          </w:tcPr>
          <w:p>
            <w:pPr>
              <w:pStyle w:val="Compact"/>
              <w:spacing w:after="20" w:before="20"/>
              <w:jc w:val="left"/>
            </w:pPr>
            <w:r>
              <w:rPr>
                <w:b/>
                <w:color w:val="FFFFFF"/>
                <w:sz w:val="18"/>
              </w:rPr>
              <w:t xml:space="preserve">Livrables</w:t>
            </w:r>
          </w:p>
        </w:tc>
      </w:tr>
      <w:tr>
        <w:trPr>
          <w:cantSplit w:val="true"/>
        </w:trPr>
        <w:tc>
          <w:tcPr>
            <w:tcW w:w="1428" w:type="dxa"/>
          </w:tcPr>
          <w:p>
            <w:pPr>
              <w:pStyle w:val="Compact"/>
              <w:spacing w:after="20" w:before="20"/>
              <w:jc w:val="left"/>
            </w:pPr>
            <w:r>
              <w:rPr>
                <w:sz w:val="18"/>
              </w:rPr>
              <w:t xml:space="preserve">Stratégique</w:t>
            </w:r>
          </w:p>
        </w:tc>
        <w:tc>
          <w:tcPr>
            <w:tcW w:w="2899" w:type="dxa"/>
          </w:tcPr>
          <w:p>
            <w:pPr>
              <w:pStyle w:val="Compact"/>
              <w:spacing w:after="20" w:before="20"/>
              <w:jc w:val="left"/>
            </w:pPr>
            <w:r>
              <w:rPr>
                <w:sz w:val="18"/>
              </w:rPr>
              <w:t xml:space="preserve">Comité de pilotage de la continuité (</w:t>
            </w:r>
            <w:r>
              <w:rPr>
                <w:rStyle w:val="VerbatimChar"/>
                <w:b/>
                <w:color w:val="8A5A00"/>
                <w:sz w:val="18"/>
              </w:rPr>
              <w:t xml:space="preserve">{{INSTANCE_STRATEGIQUE}}</w:t>
            </w:r>
            <w:r>
              <w:rPr>
                <w:sz w:val="18"/>
              </w:rPr>
              <w:t xml:space="preserve">)</w:t>
            </w:r>
          </w:p>
        </w:tc>
        <w:tc>
          <w:tcPr>
            <w:tcW w:w="1527" w:type="dxa"/>
          </w:tcPr>
          <w:p>
            <w:pPr>
              <w:pStyle w:val="Compact"/>
              <w:spacing w:after="20" w:before="20"/>
              <w:jc w:val="left"/>
            </w:pPr>
            <w:r>
              <w:rPr>
                <w:sz w:val="18"/>
              </w:rPr>
              <w:t xml:space="preserve">Trimestrielle</w:t>
            </w:r>
          </w:p>
        </w:tc>
        <w:tc>
          <w:tcPr>
            <w:tcW w:w="1454" w:type="dxa"/>
          </w:tcPr>
          <w:p>
            <w:pPr>
              <w:pStyle w:val="Compact"/>
              <w:spacing w:after="20" w:before="20"/>
              <w:jc w:val="left"/>
            </w:pPr>
            <w:r>
              <w:rPr>
                <w:sz w:val="18"/>
              </w:rPr>
              <w:t xml:space="preserve">RPCA</w:t>
            </w:r>
          </w:p>
        </w:tc>
        <w:tc>
          <w:tcPr>
            <w:tcW w:w="2103" w:type="dxa"/>
          </w:tcPr>
          <w:p>
            <w:pPr>
              <w:pStyle w:val="Compact"/>
              <w:spacing w:after="20" w:before="20"/>
              <w:jc w:val="left"/>
            </w:pPr>
            <w:r>
              <w:rPr>
                <w:sz w:val="18"/>
              </w:rPr>
              <w:t xml:space="preserve">Validation du périmètre et des plans de test</w:t>
            </w:r>
          </w:p>
        </w:tc>
      </w:tr>
      <w:tr>
        <w:trPr>
          <w:cantSplit w:val="true"/>
        </w:trPr>
        <w:tc>
          <w:tcPr>
            <w:tcW w:w="1428" w:type="dxa"/>
            <w:shd w:val="clear" w:color="auto" w:fill="EEF2F6"/>
          </w:tcPr>
          <w:p>
            <w:pPr>
              <w:pStyle w:val="Compact"/>
              <w:spacing w:after="20" w:before="20"/>
              <w:jc w:val="left"/>
            </w:pPr>
            <w:r>
              <w:rPr>
                <w:sz w:val="18"/>
              </w:rPr>
              <w:t xml:space="preserve">Tactique</w:t>
            </w:r>
          </w:p>
        </w:tc>
        <w:tc>
          <w:tcPr>
            <w:tcW w:w="2899" w:type="dxa"/>
            <w:shd w:val="clear" w:color="auto" w:fill="EEF2F6"/>
          </w:tcPr>
          <w:p>
            <w:pPr>
              <w:pStyle w:val="Compact"/>
              <w:spacing w:after="20" w:before="20"/>
              <w:jc w:val="left"/>
            </w:pPr>
            <w:r>
              <w:rPr>
                <w:sz w:val="18"/>
              </w:rPr>
              <w:t xml:space="preserve">Comité de suivi des objectifs</w:t>
            </w:r>
          </w:p>
        </w:tc>
        <w:tc>
          <w:tcPr>
            <w:tcW w:w="1527" w:type="dxa"/>
            <w:shd w:val="clear" w:color="auto" w:fill="EEF2F6"/>
          </w:tcPr>
          <w:p>
            <w:pPr>
              <w:pStyle w:val="Compact"/>
              <w:spacing w:after="20" w:before="20"/>
              <w:jc w:val="left"/>
            </w:pPr>
            <w:r>
              <w:rPr>
                <w:sz w:val="18"/>
              </w:rPr>
              <w:t xml:space="preserve">Semestrielle</w:t>
            </w:r>
          </w:p>
        </w:tc>
        <w:tc>
          <w:tcPr>
            <w:tcW w:w="1454" w:type="dxa"/>
            <w:shd w:val="clear" w:color="auto" w:fill="EEF2F6"/>
          </w:tcPr>
          <w:p>
            <w:pPr>
              <w:pStyle w:val="Compact"/>
              <w:spacing w:after="20" w:before="20"/>
              <w:jc w:val="left"/>
            </w:pPr>
            <w:r>
              <w:rPr>
                <w:sz w:val="18"/>
              </w:rPr>
              <w:t xml:space="preserve">RPCI</w:t>
            </w:r>
          </w:p>
        </w:tc>
        <w:tc>
          <w:tcPr>
            <w:tcW w:w="2103" w:type="dxa"/>
            <w:shd w:val="clear" w:color="auto" w:fill="EEF2F6"/>
          </w:tcPr>
          <w:p>
            <w:pPr>
              <w:pStyle w:val="Compact"/>
              <w:spacing w:after="20" w:before="20"/>
              <w:jc w:val="left"/>
            </w:pPr>
            <w:r>
              <w:rPr>
                <w:sz w:val="18"/>
              </w:rPr>
              <w:t xml:space="preserve">Évolutions de la stratégie, du PCI, de la gouvernance</w:t>
            </w:r>
          </w:p>
        </w:tc>
      </w:tr>
      <w:tr>
        <w:trPr>
          <w:cantSplit w:val="true"/>
        </w:trPr>
        <w:tc>
          <w:tcPr>
            <w:tcW w:w="1428" w:type="dxa"/>
          </w:tcPr>
          <w:p>
            <w:pPr>
              <w:pStyle w:val="Compact"/>
              <w:spacing w:after="20" w:before="20"/>
              <w:jc w:val="left"/>
            </w:pPr>
            <w:r>
              <w:rPr>
                <w:sz w:val="18"/>
              </w:rPr>
              <w:t xml:space="preserve">Opérationnel</w:t>
            </w:r>
          </w:p>
        </w:tc>
        <w:tc>
          <w:tcPr>
            <w:tcW w:w="2899" w:type="dxa"/>
          </w:tcPr>
          <w:p>
            <w:pPr>
              <w:pStyle w:val="Compact"/>
              <w:spacing w:after="20" w:before="20"/>
              <w:jc w:val="left"/>
            </w:pPr>
            <w:r>
              <w:rPr>
                <w:sz w:val="18"/>
              </w:rPr>
              <w:t xml:space="preserve">Comité de gestion des incidents</w:t>
            </w:r>
          </w:p>
        </w:tc>
        <w:tc>
          <w:tcPr>
            <w:tcW w:w="1527" w:type="dxa"/>
          </w:tcPr>
          <w:p>
            <w:pPr>
              <w:pStyle w:val="Compact"/>
              <w:spacing w:after="20" w:before="20"/>
              <w:jc w:val="left"/>
            </w:pPr>
            <w:r>
              <w:rPr>
                <w:sz w:val="18"/>
              </w:rPr>
              <w:t xml:space="preserve">Selon rituel ITSM</w:t>
            </w:r>
          </w:p>
        </w:tc>
        <w:tc>
          <w:tcPr>
            <w:tcW w:w="1454" w:type="dxa"/>
          </w:tcPr>
          <w:p>
            <w:pPr>
              <w:pStyle w:val="Compact"/>
              <w:spacing w:after="20" w:before="20"/>
              <w:jc w:val="left"/>
            </w:pPr>
            <w:r>
              <w:rPr>
                <w:sz w:val="18"/>
              </w:rPr>
              <w:t xml:space="preserve">Gestionnaire des incidents</w:t>
            </w:r>
          </w:p>
        </w:tc>
        <w:tc>
          <w:tcPr>
            <w:tcW w:w="2103" w:type="dxa"/>
          </w:tcPr>
          <w:p>
            <w:pPr>
              <w:pStyle w:val="Compact"/>
              <w:spacing w:after="20" w:before="20"/>
              <w:jc w:val="left"/>
            </w:pPr>
            <w:r>
              <w:rPr>
                <w:sz w:val="18"/>
              </w:rPr>
              <w:t xml:space="preserve">Remontée des incidents de sauvegarde au RPCI</w:t>
            </w:r>
          </w:p>
        </w:tc>
      </w:tr>
      <w:tr>
        <w:trPr>
          <w:cantSplit w:val="true"/>
        </w:trPr>
        <w:tc>
          <w:tcPr>
            <w:tcW w:w="1428" w:type="dxa"/>
            <w:shd w:val="clear" w:color="auto" w:fill="EEF2F6"/>
          </w:tcPr>
          <w:p>
            <w:pPr>
              <w:pStyle w:val="Compact"/>
              <w:spacing w:after="20" w:before="20"/>
              <w:jc w:val="left"/>
            </w:pPr>
            <w:r>
              <w:rPr>
                <w:sz w:val="18"/>
              </w:rPr>
              <w:t xml:space="preserve">Opérationnel</w:t>
            </w:r>
          </w:p>
        </w:tc>
        <w:tc>
          <w:tcPr>
            <w:tcW w:w="2899" w:type="dxa"/>
            <w:shd w:val="clear" w:color="auto" w:fill="EEF2F6"/>
          </w:tcPr>
          <w:p>
            <w:pPr>
              <w:pStyle w:val="Compact"/>
              <w:spacing w:after="20" w:before="20"/>
              <w:jc w:val="left"/>
            </w:pPr>
            <w:r>
              <w:rPr>
                <w:sz w:val="18"/>
              </w:rPr>
              <w:t xml:space="preserve">Comité de gestion des changements</w:t>
            </w:r>
          </w:p>
        </w:tc>
        <w:tc>
          <w:tcPr>
            <w:tcW w:w="1527" w:type="dxa"/>
            <w:shd w:val="clear" w:color="auto" w:fill="EEF2F6"/>
          </w:tcPr>
          <w:p>
            <w:pPr>
              <w:pStyle w:val="Compact"/>
              <w:spacing w:after="20" w:before="20"/>
              <w:jc w:val="left"/>
            </w:pPr>
            <w:r>
              <w:rPr>
                <w:sz w:val="18"/>
              </w:rPr>
              <w:t xml:space="preserve">Selon rituel ITSM</w:t>
            </w:r>
          </w:p>
        </w:tc>
        <w:tc>
          <w:tcPr>
            <w:tcW w:w="1454" w:type="dxa"/>
            <w:shd w:val="clear" w:color="auto" w:fill="EEF2F6"/>
          </w:tcPr>
          <w:p>
            <w:pPr>
              <w:pStyle w:val="Compact"/>
              <w:spacing w:after="20" w:before="20"/>
              <w:jc w:val="left"/>
            </w:pPr>
            <w:r>
              <w:rPr>
                <w:sz w:val="18"/>
              </w:rPr>
              <w:t xml:space="preserve">Gestionnaire des changements</w:t>
            </w:r>
          </w:p>
        </w:tc>
        <w:tc>
          <w:tcPr>
            <w:tcW w:w="2103" w:type="dxa"/>
            <w:shd w:val="clear" w:color="auto" w:fill="EEF2F6"/>
          </w:tcPr>
          <w:p>
            <w:pPr>
              <w:pStyle w:val="Compact"/>
              <w:spacing w:after="20" w:before="20"/>
              <w:jc w:val="left"/>
            </w:pPr>
            <w:r>
              <w:rPr>
                <w:sz w:val="18"/>
              </w:rPr>
              <w:t xml:space="preserve">Remontée des changements impactant la sauvegarde</w:t>
            </w:r>
          </w:p>
        </w:tc>
      </w:tr>
      <w:tr>
        <w:trPr>
          <w:cantSplit w:val="true"/>
        </w:trPr>
        <w:tc>
          <w:tcPr>
            <w:tcW w:w="1428" w:type="dxa"/>
          </w:tcPr>
          <w:p>
            <w:pPr>
              <w:pStyle w:val="Compact"/>
              <w:spacing w:after="20" w:before="20"/>
              <w:jc w:val="left"/>
            </w:pPr>
            <w:r>
              <w:rPr>
                <w:sz w:val="18"/>
              </w:rPr>
              <w:t xml:space="preserve">Opérationnel</w:t>
            </w:r>
          </w:p>
        </w:tc>
        <w:tc>
          <w:tcPr>
            <w:tcW w:w="2899" w:type="dxa"/>
          </w:tcPr>
          <w:p>
            <w:pPr>
              <w:pStyle w:val="Compact"/>
              <w:spacing w:after="20" w:before="20"/>
              <w:jc w:val="left"/>
            </w:pPr>
            <w:r>
              <w:rPr>
                <w:sz w:val="18"/>
              </w:rPr>
              <w:t xml:space="preserve">Réunion de préparation d'exercice</w:t>
            </w:r>
          </w:p>
        </w:tc>
        <w:tc>
          <w:tcPr>
            <w:tcW w:w="1527" w:type="dxa"/>
          </w:tcPr>
          <w:p>
            <w:pPr>
              <w:pStyle w:val="Compact"/>
              <w:spacing w:after="20" w:before="20"/>
              <w:jc w:val="left"/>
            </w:pPr>
            <w:r>
              <w:rPr>
                <w:sz w:val="18"/>
              </w:rPr>
              <w:t xml:space="preserve">J-2 mois</w:t>
            </w:r>
          </w:p>
        </w:tc>
        <w:tc>
          <w:tcPr>
            <w:tcW w:w="1454" w:type="dxa"/>
          </w:tcPr>
          <w:p>
            <w:pPr>
              <w:pStyle w:val="Compact"/>
              <w:spacing w:after="20" w:before="20"/>
              <w:jc w:val="left"/>
            </w:pPr>
            <w:r>
              <w:rPr>
                <w:sz w:val="18"/>
              </w:rPr>
              <w:t xml:space="preserve">RPCI</w:t>
            </w:r>
          </w:p>
        </w:tc>
        <w:tc>
          <w:tcPr>
            <w:tcW w:w="2103" w:type="dxa"/>
          </w:tcPr>
          <w:p>
            <w:pPr>
              <w:pStyle w:val="Compact"/>
              <w:spacing w:after="20" w:before="20"/>
              <w:jc w:val="left"/>
            </w:pPr>
            <w:r>
              <w:rPr>
                <w:sz w:val="18"/>
              </w:rPr>
              <w:t xml:space="preserve">Plan d'actions préventif, relevé de décisions</w:t>
            </w:r>
          </w:p>
        </w:tc>
      </w:tr>
      <w:tr>
        <w:trPr>
          <w:cantSplit w:val="true"/>
        </w:trPr>
        <w:tc>
          <w:tcPr>
            <w:tcW w:w="1428" w:type="dxa"/>
            <w:shd w:val="clear" w:color="auto" w:fill="EEF2F6"/>
          </w:tcPr>
          <w:p>
            <w:pPr>
              <w:pStyle w:val="Compact"/>
              <w:spacing w:after="20" w:before="20"/>
              <w:jc w:val="left"/>
            </w:pPr>
            <w:r>
              <w:rPr>
                <w:sz w:val="18"/>
              </w:rPr>
              <w:t xml:space="preserve">Opérationnel</w:t>
            </w:r>
          </w:p>
        </w:tc>
        <w:tc>
          <w:tcPr>
            <w:tcW w:w="2899" w:type="dxa"/>
            <w:shd w:val="clear" w:color="auto" w:fill="EEF2F6"/>
          </w:tcPr>
          <w:p>
            <w:pPr>
              <w:pStyle w:val="Compact"/>
              <w:spacing w:after="20" w:before="20"/>
              <w:jc w:val="left"/>
            </w:pPr>
            <w:r>
              <w:rPr>
                <w:sz w:val="18"/>
              </w:rPr>
              <w:t xml:space="preserve">Réunion de bilan d'exercice</w:t>
            </w:r>
          </w:p>
        </w:tc>
        <w:tc>
          <w:tcPr>
            <w:tcW w:w="1527" w:type="dxa"/>
            <w:shd w:val="clear" w:color="auto" w:fill="EEF2F6"/>
          </w:tcPr>
          <w:p>
            <w:pPr>
              <w:pStyle w:val="Compact"/>
              <w:spacing w:after="20" w:before="20"/>
              <w:jc w:val="left"/>
            </w:pPr>
            <w:r>
              <w:rPr>
                <w:sz w:val="18"/>
              </w:rPr>
              <w:t xml:space="preserve">J+8 jours</w:t>
            </w:r>
          </w:p>
        </w:tc>
        <w:tc>
          <w:tcPr>
            <w:tcW w:w="1454" w:type="dxa"/>
            <w:shd w:val="clear" w:color="auto" w:fill="EEF2F6"/>
          </w:tcPr>
          <w:p>
            <w:pPr>
              <w:pStyle w:val="Compact"/>
              <w:spacing w:after="20" w:before="20"/>
              <w:jc w:val="left"/>
            </w:pPr>
            <w:r>
              <w:rPr>
                <w:sz w:val="18"/>
              </w:rPr>
              <w:t xml:space="preserve">RPCI</w:t>
            </w:r>
          </w:p>
        </w:tc>
        <w:tc>
          <w:tcPr>
            <w:tcW w:w="2103" w:type="dxa"/>
            <w:shd w:val="clear" w:color="auto" w:fill="EEF2F6"/>
          </w:tcPr>
          <w:p>
            <w:pPr>
              <w:pStyle w:val="Compact"/>
              <w:spacing w:after="20" w:before="20"/>
              <w:jc w:val="left"/>
            </w:pPr>
            <w:r>
              <w:rPr>
                <w:sz w:val="18"/>
              </w:rPr>
              <w:t xml:space="preserve">Relevé de décisions, incidents ouverts</w:t>
            </w:r>
          </w:p>
        </w:tc>
      </w:tr>
      <w:tr>
        <w:trPr>
          <w:cantSplit w:val="true"/>
        </w:trPr>
        <w:tc>
          <w:tcPr>
            <w:tcW w:w="1428" w:type="dxa"/>
          </w:tcPr>
          <w:p>
            <w:pPr>
              <w:pStyle w:val="Compact"/>
              <w:spacing w:after="20" w:before="20"/>
              <w:jc w:val="left"/>
            </w:pPr>
            <w:r>
              <w:rPr>
                <w:sz w:val="18"/>
              </w:rPr>
              <w:t xml:space="preserve">Opérationnel</w:t>
            </w:r>
          </w:p>
        </w:tc>
        <w:tc>
          <w:tcPr>
            <w:tcW w:w="2899" w:type="dxa"/>
          </w:tcPr>
          <w:p>
            <w:pPr>
              <w:pStyle w:val="Compact"/>
              <w:spacing w:after="20" w:before="20"/>
              <w:jc w:val="left"/>
            </w:pPr>
            <w:r>
              <w:rPr>
                <w:sz w:val="18"/>
              </w:rPr>
              <w:t xml:space="preserve">Comité de suivi des exercices</w:t>
            </w:r>
          </w:p>
        </w:tc>
        <w:tc>
          <w:tcPr>
            <w:tcW w:w="1527" w:type="dxa"/>
          </w:tcPr>
          <w:p>
            <w:pPr>
              <w:pStyle w:val="Compact"/>
              <w:spacing w:after="20" w:before="20"/>
              <w:jc w:val="left"/>
            </w:pPr>
            <w:r>
              <w:rPr>
                <w:sz w:val="18"/>
              </w:rPr>
              <w:t xml:space="preserve">Bimestrielle</w:t>
            </w:r>
            <w:r>
              <w:rPr>
                <w:sz w:val="18"/>
              </w:rPr>
              <w:t xml:space="preserve"> </w:t>
            </w:r>
            <w:r>
              <w:rPr>
                <w:bCs/>
                <w:b/>
                <w:sz w:val="18"/>
              </w:rPr>
              <w:t xml:space="preserve">[À VALIDER]</w:t>
            </w:r>
          </w:p>
        </w:tc>
        <w:tc>
          <w:tcPr>
            <w:tcW w:w="1454" w:type="dxa"/>
          </w:tcPr>
          <w:p>
            <w:pPr>
              <w:pStyle w:val="Compact"/>
              <w:spacing w:after="20" w:before="20"/>
              <w:jc w:val="left"/>
            </w:pPr>
            <w:r>
              <w:rPr>
                <w:sz w:val="18"/>
              </w:rPr>
              <w:t xml:space="preserve">RPCI</w:t>
            </w:r>
          </w:p>
        </w:tc>
        <w:tc>
          <w:tcPr>
            <w:tcW w:w="2103" w:type="dxa"/>
          </w:tcPr>
          <w:p>
            <w:pPr>
              <w:pStyle w:val="Compact"/>
              <w:spacing w:after="20" w:before="20"/>
              <w:jc w:val="left"/>
            </w:pPr>
            <w:r>
              <w:rPr>
                <w:sz w:val="18"/>
              </w:rPr>
              <w:t xml:space="preserve">Plan d'actions des bilans à jour</w:t>
            </w:r>
          </w:p>
        </w:tc>
      </w:tr>
    </w:tbl>
    <w:bookmarkStart w:id="71" w:name="X725d16c87ab32fbb03bdb710f985a3245352b67"/>
    <w:p>
      <w:pPr>
        <w:pStyle w:val="Heading3"/>
      </w:pPr>
      <w:r>
        <w:t xml:space="preserve">7.3.1 Comité stratégique — pilotage de la continuité</w:t>
      </w:r>
    </w:p>
    <w:p>
      <w:pPr>
        <w:pStyle w:val="FirstParagraph"/>
      </w:pPr>
      <w:r>
        <w:t xml:space="preserve">Lors des comités trimestriels :</w:t>
      </w:r>
    </w:p>
    <w:p>
      <w:pPr>
        <w:numPr>
          <w:ilvl w:val="0"/>
          <w:numId w:val="1031"/>
        </w:numPr>
        <w:pStyle w:val="Compact"/>
      </w:pPr>
      <w:r>
        <w:t xml:space="preserve">le</w:t>
      </w:r>
      <w:r>
        <w:t xml:space="preserve"> </w:t>
      </w:r>
      <w:r>
        <w:rPr>
          <w:bCs/>
          <w:b/>
        </w:rPr>
        <w:t xml:space="preserve">RPCI</w:t>
      </w:r>
      <w:r>
        <w:t xml:space="preserve"> </w:t>
      </w:r>
      <w:r>
        <w:t xml:space="preserve">présente les évolutions de la stratégie et du PCI, le bilan des exercices et l'analyse causale des incidents (une déplanification ou un changement de périmètre est considéré comme un incident) ;</w:t>
      </w:r>
    </w:p>
    <w:p>
      <w:pPr>
        <w:numPr>
          <w:ilvl w:val="0"/>
          <w:numId w:val="1031"/>
        </w:numPr>
        <w:pStyle w:val="Compact"/>
      </w:pPr>
      <w:r>
        <w:t xml:space="preserve">le</w:t>
      </w:r>
      <w:r>
        <w:t xml:space="preserve"> </w:t>
      </w:r>
      <w:r>
        <w:rPr>
          <w:bCs/>
          <w:b/>
        </w:rPr>
        <w:t xml:space="preserve">RPCA</w:t>
      </w:r>
      <w:r>
        <w:t xml:space="preserve"> </w:t>
      </w:r>
      <w:r>
        <w:t xml:space="preserve">présente l'évolution de la stratégie de PCA au regard du PCI, pour</w:t>
      </w:r>
      <w:r>
        <w:t xml:space="preserve"> </w:t>
      </w:r>
      <w:r>
        <w:rPr>
          <w:rStyle w:val="VerbatimChar"/>
          <w:b/>
          <w:color w:val="8A5A00"/>
        </w:rPr>
        <w:t xml:space="preserve">{{ORGANISATION}}</w:t>
      </w:r>
      <w:r>
        <w:t xml:space="preserve"> </w:t>
      </w:r>
      <w:r>
        <w:t xml:space="preserve">et ses entités, ainsi que les objectifs de continuité pour les années suivantes, notamment ceux des exercices ;</w:t>
      </w:r>
    </w:p>
    <w:p>
      <w:pPr>
        <w:numPr>
          <w:ilvl w:val="0"/>
          <w:numId w:val="1031"/>
        </w:numPr>
        <w:pStyle w:val="Compact"/>
      </w:pPr>
      <w:r>
        <w:t xml:space="preserve">le</w:t>
      </w:r>
      <w:r>
        <w:t xml:space="preserve"> </w:t>
      </w:r>
      <w:r>
        <w:rPr>
          <w:bCs/>
          <w:b/>
        </w:rPr>
        <w:t xml:space="preserve">comité</w:t>
      </w:r>
      <w:r>
        <w:t xml:space="preserve"> </w:t>
      </w:r>
      <w:r>
        <w:t xml:space="preserve">valide le périmètre prévisionnel et les plans de test associés.</w:t>
      </w:r>
    </w:p>
    <w:bookmarkEnd w:id="71"/>
    <w:bookmarkStart w:id="72" w:name="comité-tactique-suivi-des-objectifs"/>
    <w:p>
      <w:pPr>
        <w:pStyle w:val="Heading3"/>
      </w:pPr>
      <w:r>
        <w:t xml:space="preserve">7.3.2 Comité tactique — suivi des objectifs</w:t>
      </w:r>
    </w:p>
    <w:p>
      <w:pPr>
        <w:pStyle w:val="FirstParagraph"/>
      </w:pPr>
      <w:r>
        <w:t xml:space="preserve">Chaque semestre, le RPCI réunit le DIO et le Responsable de Production pour arrêter :</w:t>
      </w:r>
    </w:p>
    <w:p>
      <w:pPr>
        <w:numPr>
          <w:ilvl w:val="0"/>
          <w:numId w:val="1032"/>
        </w:numPr>
        <w:pStyle w:val="Compact"/>
      </w:pPr>
      <w:r>
        <w:t xml:space="preserve">les évolutions de la stratégie, de la gestion des infrastructures, des méthodes et des procédures ;</w:t>
      </w:r>
    </w:p>
    <w:p>
      <w:pPr>
        <w:numPr>
          <w:ilvl w:val="0"/>
          <w:numId w:val="1032"/>
        </w:numPr>
        <w:pStyle w:val="Compact"/>
      </w:pPr>
      <w:r>
        <w:t xml:space="preserve">les adaptations de gouvernance, de suivi et de reporting ;</w:t>
      </w:r>
    </w:p>
    <w:p>
      <w:pPr>
        <w:numPr>
          <w:ilvl w:val="0"/>
          <w:numId w:val="1032"/>
        </w:numPr>
        <w:pStyle w:val="Compact"/>
      </w:pPr>
      <w:r>
        <w:t xml:space="preserve">les évolutions du PCI pour l'année suivante.</w:t>
      </w:r>
    </w:p>
    <w:p>
      <w:pPr>
        <w:pStyle w:val="FirstParagraph"/>
      </w:pPr>
      <w:r>
        <w:t xml:space="preserve">Le DIO s'appuie sur le compte rendu pour transmettre au DSI les besoins d'évolution (§7.2, Reporting).</w:t>
      </w:r>
    </w:p>
    <w:bookmarkEnd w:id="72"/>
    <w:bookmarkStart w:id="73" w:name="comités-opérationnels"/>
    <w:p>
      <w:pPr>
        <w:pStyle w:val="Heading3"/>
      </w:pPr>
      <w:r>
        <w:t xml:space="preserve">7.3.3 Comités opérationnels</w:t>
      </w:r>
    </w:p>
    <w:p>
      <w:pPr>
        <w:pStyle w:val="FirstParagraph"/>
      </w:pPr>
      <w:r>
        <w:rPr>
          <w:bCs/>
          <w:b/>
        </w:rPr>
        <w:t xml:space="preserve">Comité de gestion des incidents.</w:t>
      </w:r>
      <w:r>
        <w:t xml:space="preserve"> </w:t>
      </w:r>
      <w:r>
        <w:t xml:space="preserve">Le gestionnaire des incidents :</w:t>
      </w:r>
    </w:p>
    <w:p>
      <w:pPr>
        <w:numPr>
          <w:ilvl w:val="0"/>
          <w:numId w:val="1033"/>
        </w:numPr>
        <w:pStyle w:val="Compact"/>
      </w:pPr>
      <w:r>
        <w:t xml:space="preserve">informe le RPCI de tout incident dont l'origine concerne le dispositif de sauvegarde, de restauration ou de reconstruction ;</w:t>
      </w:r>
    </w:p>
    <w:p>
      <w:pPr>
        <w:numPr>
          <w:ilvl w:val="0"/>
          <w:numId w:val="1033"/>
        </w:numPr>
        <w:pStyle w:val="Compact"/>
      </w:pPr>
      <w:r>
        <w:t xml:space="preserve">lui transmet tous les éléments d'identification et d'analyse.</w:t>
      </w:r>
    </w:p>
    <w:p>
      <w:pPr>
        <w:pStyle w:val="FirstParagraph"/>
      </w:pPr>
      <w:r>
        <w:rPr>
          <w:bCs/>
          <w:b/>
        </w:rPr>
        <w:t xml:space="preserve">Comité de gestion des changements.</w:t>
      </w:r>
      <w:r>
        <w:t xml:space="preserve"> </w:t>
      </w:r>
      <w:r>
        <w:t xml:space="preserve">Le gestionnaire des changements signale au RPCI les changements non répercutés dans la CMDB, afin qu'il en tienne compte pour les exercices à venir.</w:t>
      </w:r>
    </w:p>
    <w:p>
      <w:pPr>
        <w:pStyle w:val="BodyText"/>
      </w:pPr>
      <w:r>
        <w:t xml:space="preserve">La gestion des changements intègre un indicateur « nouvelle technologie », qui permet d'extraire les risques technologiques et les applications métier associées. Une technologie validée lors d'un exercice PCI n'est plus considérée comme nouvelle.</w:t>
      </w:r>
    </w:p>
    <w:p>
      <w:pPr>
        <w:pStyle w:val="BodyText"/>
      </w:pPr>
      <w:r>
        <w:rPr>
          <w:bCs/>
          <w:b/>
        </w:rPr>
        <w:t xml:space="preserve">Réunion de préparation d'exercice</w:t>
      </w:r>
      <w:r>
        <w:t xml:space="preserve"> </w:t>
      </w:r>
      <w:r>
        <w:t xml:space="preserve">— organisée par le RPCI deux mois avant chaque exercice, pour :</w:t>
      </w:r>
    </w:p>
    <w:p>
      <w:pPr>
        <w:numPr>
          <w:ilvl w:val="0"/>
          <w:numId w:val="1034"/>
        </w:numPr>
        <w:pStyle w:val="Compact"/>
      </w:pPr>
      <w:r>
        <w:t xml:space="preserve">revoir les objectifs de l'exercice ;</w:t>
      </w:r>
    </w:p>
    <w:p>
      <w:pPr>
        <w:numPr>
          <w:ilvl w:val="0"/>
          <w:numId w:val="1034"/>
        </w:numPr>
        <w:pStyle w:val="Compact"/>
      </w:pPr>
      <w:r>
        <w:t xml:space="preserve">identifier les participants et valider leur disponibilité ;</w:t>
      </w:r>
    </w:p>
    <w:p>
      <w:pPr>
        <w:numPr>
          <w:ilvl w:val="0"/>
          <w:numId w:val="1034"/>
        </w:numPr>
        <w:pStyle w:val="Compact"/>
      </w:pPr>
      <w:r>
        <w:t xml:space="preserve">faire le point sur les modifications du SI depuis le dernier exercice ;</w:t>
      </w:r>
    </w:p>
    <w:p>
      <w:pPr>
        <w:numPr>
          <w:ilvl w:val="0"/>
          <w:numId w:val="1034"/>
        </w:numPr>
        <w:pStyle w:val="Compact"/>
      </w:pPr>
      <w:r>
        <w:t xml:space="preserve">intégrer le plan d'actions des bilans précédents ;</w:t>
      </w:r>
    </w:p>
    <w:p>
      <w:pPr>
        <w:numPr>
          <w:ilvl w:val="0"/>
          <w:numId w:val="1034"/>
        </w:numPr>
        <w:pStyle w:val="Compact"/>
      </w:pPr>
      <w:r>
        <w:t xml:space="preserve">identifier et planifier les actions préventives.</w:t>
      </w:r>
    </w:p>
    <w:p>
      <w:pPr>
        <w:pStyle w:val="FirstParagraph"/>
      </w:pPr>
      <w:r>
        <w:t xml:space="preserve">Les managers invités désignent les responsables des actions préventives ; en cas d'absence, ils se font représenter par un collaborateur habilité à décider. Livrables : plan d'actions préventif et relevé de décisions.</w:t>
      </w:r>
    </w:p>
    <w:p>
      <w:pPr>
        <w:pStyle w:val="BodyText"/>
      </w:pPr>
      <w:r>
        <w:rPr>
          <w:bCs/>
          <w:b/>
        </w:rPr>
        <w:t xml:space="preserve">Réunion de bilan d'exercice</w:t>
      </w:r>
      <w:r>
        <w:t xml:space="preserve"> </w:t>
      </w:r>
      <w:r>
        <w:t xml:space="preserve">— organisée par le RPCI dans les huit jours suivant chaque exercice. Elle recense tous les incidents et dysfonctionnements (opérationnels, fonctionnels, organisationnels) constatés et désigne pour chacun un responsable d'action disposant du niveau de responsabilité suffisant pour élaborer, piloter et rendre compte du plan correctif. Livrables : relevé de décisions, mise à jour du plan d'actions des bilans, ouverture des incidents.</w:t>
      </w:r>
    </w:p>
    <w:p>
      <w:pPr>
        <w:pStyle w:val="BodyText"/>
      </w:pPr>
      <w:r>
        <w:rPr>
          <w:bCs/>
          <w:b/>
        </w:rPr>
        <w:t xml:space="preserve">Comité de suivi des exercices</w:t>
      </w:r>
      <w:r>
        <w:t xml:space="preserve"> </w:t>
      </w:r>
      <w:r>
        <w:t xml:space="preserve">— organisé par le RPCI tous les deux mois</w:t>
      </w:r>
      <w:r>
        <w:t xml:space="preserve"> </w:t>
      </w:r>
      <w:r>
        <w:rPr>
          <w:bCs/>
          <w:b/>
        </w:rPr>
        <w:t xml:space="preserve">[À VALIDER]</w:t>
      </w:r>
      <w:r>
        <w:t xml:space="preserve">. Il suit les plans d'actions correctifs issus des bilans. Chaque responsable d'action y est invité ou se fait représenter. Livrable : plan d'actions des bilans à jour.</w:t>
      </w:r>
    </w:p>
    <w:bookmarkEnd w:id="73"/>
    <w:bookmarkEnd w:id="74"/>
    <w:bookmarkStart w:id="78" w:name="suivi-des-incidents"/>
    <w:p>
      <w:pPr>
        <w:pStyle w:val="Heading2"/>
      </w:pPr>
      <w:r>
        <w:t xml:space="preserve">7.4 Suivi des incidents</w:t>
      </w:r>
    </w:p>
    <w:bookmarkStart w:id="75" w:name="suivi-opérationnel"/>
    <w:p>
      <w:pPr>
        <w:pStyle w:val="Heading3"/>
      </w:pPr>
      <w:r>
        <w:t xml:space="preserve">7.4.1 Suivi opérationnel</w:t>
      </w:r>
    </w:p>
    <w:p>
      <w:pPr>
        <w:numPr>
          <w:ilvl w:val="0"/>
          <w:numId w:val="1035"/>
        </w:numPr>
        <w:pStyle w:val="Compact"/>
      </w:pPr>
      <w:r>
        <w:t xml:space="preserve">L'</w:t>
      </w:r>
      <w:r>
        <w:rPr>
          <w:bCs/>
          <w:b/>
        </w:rPr>
        <w:t xml:space="preserve">AdSv</w:t>
      </w:r>
      <w:r>
        <w:t xml:space="preserve"> </w:t>
      </w:r>
      <w:r>
        <w:t xml:space="preserve">ouvre un ticket dans</w:t>
      </w:r>
      <w:r>
        <w:t xml:space="preserve"> </w:t>
      </w:r>
      <w:r>
        <w:rPr>
          <w:rStyle w:val="VerbatimChar"/>
          <w:b/>
          <w:color w:val="8A5A00"/>
        </w:rPr>
        <w:t xml:space="preserve">{{OUTIL_ITSM}}</w:t>
      </w:r>
      <w:r>
        <w:t xml:space="preserve"> </w:t>
      </w:r>
      <w:r>
        <w:t xml:space="preserve">pour chaque incident ou dysfonctionnement d'un traitement ou d'une procédure de sauvegarde ou de restauration.</w:t>
      </w:r>
      <w:r>
        <w:t xml:space="preserve"> </w:t>
      </w:r>
      <w:r>
        <w:rPr>
          <w:bCs/>
          <w:b/>
        </w:rPr>
        <w:t xml:space="preserve">Un traitement prévu et non exécuté est un incident.</w:t>
      </w:r>
    </w:p>
    <w:p>
      <w:pPr>
        <w:numPr>
          <w:ilvl w:val="0"/>
          <w:numId w:val="1035"/>
        </w:numPr>
        <w:pStyle w:val="Compact"/>
      </w:pPr>
      <w:r>
        <w:t xml:space="preserve">L'</w:t>
      </w:r>
      <w:r>
        <w:rPr>
          <w:bCs/>
          <w:b/>
        </w:rPr>
        <w:t xml:space="preserve">AdMP</w:t>
      </w:r>
      <w:r>
        <w:t xml:space="preserve"> </w:t>
      </w:r>
      <w:r>
        <w:t xml:space="preserve">ouvre un ticket pour chaque incident touchant une ressource matérielle ou logique participant à la sauvegarde ou à la restauration.</w:t>
      </w:r>
    </w:p>
    <w:p>
      <w:pPr>
        <w:numPr>
          <w:ilvl w:val="0"/>
          <w:numId w:val="1035"/>
        </w:numPr>
        <w:pStyle w:val="Compact"/>
      </w:pPr>
      <w:r>
        <w:t xml:space="preserve">Des incidents de même type survenus le même jour peuvent être regroupés en un seul ticket, qui précise le nombre d'occurrences.</w:t>
      </w:r>
    </w:p>
    <w:p>
      <w:pPr>
        <w:numPr>
          <w:ilvl w:val="0"/>
          <w:numId w:val="1035"/>
        </w:numPr>
        <w:pStyle w:val="Compact"/>
      </w:pPr>
      <w:r>
        <w:t xml:space="preserve">Un incident récurrent sur plusieurs jours donne lieu à un ticket par jour ; cette récurrence déclenche l'ouverture d'un</w:t>
      </w:r>
      <w:r>
        <w:t xml:space="preserve"> </w:t>
      </w:r>
      <w:r>
        <w:rPr>
          <w:bCs/>
          <w:b/>
        </w:rPr>
        <w:t xml:space="preserve">problème</w:t>
      </w:r>
      <w:r>
        <w:t xml:space="preserve"> </w:t>
      </w:r>
      <w:r>
        <w:t xml:space="preserve">pour en éradiquer la cause.</w:t>
      </w:r>
    </w:p>
    <w:bookmarkEnd w:id="75"/>
    <w:bookmarkStart w:id="76" w:name="suivi-tactique"/>
    <w:p>
      <w:pPr>
        <w:pStyle w:val="Heading3"/>
      </w:pPr>
      <w:r>
        <w:t xml:space="preserve">7.4.2 Suivi tactique</w:t>
      </w:r>
    </w:p>
    <w:p>
      <w:pPr>
        <w:pStyle w:val="FirstParagraph"/>
      </w:pPr>
      <w:r>
        <w:t xml:space="preserve">Le Responsable de Production établit chaque mois un</w:t>
      </w:r>
      <w:r>
        <w:t xml:space="preserve"> </w:t>
      </w:r>
      <w:r>
        <w:rPr>
          <w:bCs/>
          <w:b/>
        </w:rPr>
        <w:t xml:space="preserve">rapport de synthèse des incidents de sauvegarde</w:t>
      </w:r>
      <w:r>
        <w:t xml:space="preserve"> </w:t>
      </w:r>
      <w:r>
        <w:t xml:space="preserve">: situation mensuelle en volume et en nature, tendance annuelle. Il est présenté à</w:t>
      </w:r>
      <w:r>
        <w:t xml:space="preserve"> </w:t>
      </w:r>
      <w:r>
        <w:rPr>
          <w:rStyle w:val="VerbatimChar"/>
          <w:b/>
          <w:color w:val="8A5A00"/>
        </w:rPr>
        <w:t xml:space="preserve">{{INSTANCE_TACTIQUE}}</w:t>
      </w:r>
      <w:r>
        <w:t xml:space="preserve"> </w:t>
      </w:r>
      <w:r>
        <w:rPr>
          <w:bCs/>
          <w:b/>
        </w:rPr>
        <w:t xml:space="preserve">[À COMPLÉTER]</w:t>
      </w:r>
      <w:r>
        <w:t xml:space="preserve">, en présence du RPCI, avec une proposition de priorisation des plans d'actions selon les besoins métier.</w:t>
      </w:r>
    </w:p>
    <w:bookmarkEnd w:id="76"/>
    <w:bookmarkStart w:id="77" w:name="suivi-stratégique"/>
    <w:p>
      <w:pPr>
        <w:pStyle w:val="Heading3"/>
      </w:pPr>
      <w:r>
        <w:t xml:space="preserve">7.4.3 Suivi stratégique</w:t>
      </w:r>
    </w:p>
    <w:p>
      <w:pPr>
        <w:pStyle w:val="FirstParagraph"/>
      </w:pPr>
      <w:r>
        <w:t xml:space="preserve">Le RPCI émet chaque trimestre un</w:t>
      </w:r>
      <w:r>
        <w:t xml:space="preserve"> </w:t>
      </w:r>
      <w:r>
        <w:rPr>
          <w:bCs/>
          <w:b/>
        </w:rPr>
        <w:t xml:space="preserve">rapport de respect de la stratégie</w:t>
      </w:r>
      <w:r>
        <w:t xml:space="preserve">, fondé sur les rapports mensuels : synthèse des manquements, état des lieux et évolution du niveau de risque. Destinataires : DSI, DIO, RPCA, DARCH, RPROD, RSSI.</w:t>
      </w:r>
    </w:p>
    <w:bookmarkEnd w:id="77"/>
    <w:bookmarkEnd w:id="78"/>
    <w:bookmarkStart w:id="79" w:name="révision-de-la-stratégie"/>
    <w:p>
      <w:pPr>
        <w:pStyle w:val="Heading2"/>
      </w:pPr>
      <w:r>
        <w:t xml:space="preserve">7.5 Révision de la stratégie</w:t>
      </w:r>
    </w:p>
    <w:p>
      <w:pPr>
        <w:pStyle w:val="FirstParagraph"/>
      </w:pPr>
      <w:r>
        <w:t xml:space="preserve">Le RPCI engage une révision :</w:t>
      </w:r>
    </w:p>
    <w:p>
      <w:pPr>
        <w:numPr>
          <w:ilvl w:val="0"/>
          <w:numId w:val="1036"/>
        </w:numPr>
        <w:pStyle w:val="Compact"/>
      </w:pPr>
      <w:r>
        <w:t xml:space="preserve">après toute nouvelle version de la politique de sauvegarde ;</w:t>
      </w:r>
    </w:p>
    <w:p>
      <w:pPr>
        <w:numPr>
          <w:ilvl w:val="0"/>
          <w:numId w:val="1036"/>
        </w:numPr>
        <w:pStyle w:val="Compact"/>
      </w:pPr>
      <w:r>
        <w:t xml:space="preserve">avant toute évolution majeure du SI ;</w:t>
      </w:r>
    </w:p>
    <w:p>
      <w:pPr>
        <w:numPr>
          <w:ilvl w:val="0"/>
          <w:numId w:val="1036"/>
        </w:numPr>
        <w:pStyle w:val="Compact"/>
      </w:pPr>
      <w:r>
        <w:t xml:space="preserve">annuellement, pour intégrer les évolutions mineures ;</w:t>
      </w:r>
    </w:p>
    <w:p>
      <w:pPr>
        <w:numPr>
          <w:ilvl w:val="0"/>
          <w:numId w:val="1036"/>
        </w:numPr>
        <w:pStyle w:val="Compact"/>
      </w:pPr>
      <w:r>
        <w:rPr>
          <w:bCs/>
          <w:b/>
        </w:rPr>
        <w:t xml:space="preserve">après tout incident majeur ou exercice</w:t>
      </w:r>
      <w:r>
        <w:t xml:space="preserve"> </w:t>
      </w:r>
      <w:r>
        <w:t xml:space="preserve">ayant révélé une insuffisance de la stratégie</w:t>
      </w:r>
      <w:r>
        <w:t xml:space="preserve"> </w:t>
      </w:r>
      <w:r>
        <w:rPr>
          <w:iCs/>
          <w:i/>
        </w:rPr>
        <w:t xml:space="preserve">(ajout)</w:t>
      </w:r>
      <w:r>
        <w:t xml:space="preserve">.</w:t>
      </w:r>
    </w:p>
    <w:p>
      <w:pPr>
        <w:pStyle w:val="FirstParagraph"/>
      </w:pPr>
      <w:r>
        <w:t xml:space="preserve">Une</w:t>
      </w:r>
      <w:r>
        <w:t xml:space="preserve"> </w:t>
      </w:r>
      <w:r>
        <w:rPr>
          <w:bCs/>
          <w:b/>
        </w:rPr>
        <w:t xml:space="preserve">évolution majeure</w:t>
      </w:r>
      <w:r>
        <w:t xml:space="preserve"> </w:t>
      </w:r>
      <w:r>
        <w:t xml:space="preserve">est un changement (ou un ensemble de changements liés) rendant les méthodes et solutions de la stratégie inefficaces au regard du besoin de continuité.</w:t>
      </w:r>
    </w:p>
    <w:p>
      <w:pPr>
        <w:pStyle w:val="BodyText"/>
      </w:pPr>
      <w:r>
        <w:t xml:space="preserve">Toute révision suit le cycle de validation suivant :</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992"/>
        <w:gridCol w:w="5419"/>
      </w:tblGrid>
      <w:tr>
        <w:trPr>
          <w:tblHeader w:val="true"/>
          <w:tblHeader w:val="true"/>
          <w:cantSplit w:val="true"/>
        </w:trPr>
        <w:tc>
          <w:tcPr>
            <w:tcW w:w="3992" w:type="dxa"/>
            <w:shd w:val="clear" w:color="auto" w:fill="1F3A5F"/>
          </w:tcPr>
          <w:p>
            <w:pPr>
              <w:pStyle w:val="Compact"/>
              <w:spacing w:after="20" w:before="20"/>
              <w:jc w:val="left"/>
            </w:pPr>
            <w:r>
              <w:rPr>
                <w:b/>
                <w:color w:val="FFFFFF"/>
                <w:sz w:val="18"/>
              </w:rPr>
              <w:t xml:space="preserve">Activité</w:t>
            </w:r>
          </w:p>
        </w:tc>
        <w:tc>
          <w:tcPr>
            <w:tcW w:w="5419" w:type="dxa"/>
            <w:shd w:val="clear" w:color="auto" w:fill="1F3A5F"/>
          </w:tcPr>
          <w:p>
            <w:pPr>
              <w:pStyle w:val="Compact"/>
              <w:spacing w:after="20" w:before="20"/>
              <w:jc w:val="left"/>
            </w:pPr>
            <w:r>
              <w:rPr>
                <w:b/>
                <w:color w:val="FFFFFF"/>
                <w:sz w:val="18"/>
              </w:rPr>
              <w:t xml:space="preserve">Fonction</w:t>
            </w:r>
          </w:p>
        </w:tc>
      </w:tr>
      <w:tr>
        <w:trPr>
          <w:cantSplit w:val="true"/>
        </w:trPr>
        <w:tc>
          <w:tcPr>
            <w:tcW w:w="3992" w:type="dxa"/>
          </w:tcPr>
          <w:p>
            <w:pPr>
              <w:pStyle w:val="Compact"/>
              <w:spacing w:after="20" w:before="20"/>
              <w:jc w:val="left"/>
            </w:pPr>
            <w:r>
              <w:rPr>
                <w:sz w:val="18"/>
              </w:rPr>
              <w:t xml:space="preserve">Rédaction</w:t>
            </w:r>
          </w:p>
        </w:tc>
        <w:tc>
          <w:tcPr>
            <w:tcW w:w="5419" w:type="dxa"/>
          </w:tcPr>
          <w:p>
            <w:pPr>
              <w:pStyle w:val="Compact"/>
              <w:spacing w:after="20" w:before="20"/>
              <w:jc w:val="left"/>
            </w:pPr>
            <w:r>
              <w:rPr>
                <w:sz w:val="18"/>
              </w:rPr>
              <w:t xml:space="preserve">RPCI</w:t>
            </w:r>
          </w:p>
        </w:tc>
      </w:tr>
      <w:tr>
        <w:trPr>
          <w:cantSplit w:val="true"/>
        </w:trPr>
        <w:tc>
          <w:tcPr>
            <w:tcW w:w="3992" w:type="dxa"/>
            <w:shd w:val="clear" w:color="auto" w:fill="EEF2F6"/>
          </w:tcPr>
          <w:p>
            <w:pPr>
              <w:pStyle w:val="Compact"/>
              <w:spacing w:after="20" w:before="20"/>
              <w:jc w:val="left"/>
            </w:pPr>
            <w:r>
              <w:rPr>
                <w:sz w:val="18"/>
              </w:rPr>
              <w:t xml:space="preserve">Relecture</w:t>
            </w:r>
          </w:p>
        </w:tc>
        <w:tc>
          <w:tcPr>
            <w:tcW w:w="5419" w:type="dxa"/>
            <w:shd w:val="clear" w:color="auto" w:fill="EEF2F6"/>
          </w:tcPr>
          <w:p>
            <w:pPr>
              <w:pStyle w:val="Compact"/>
              <w:spacing w:after="20" w:before="20"/>
              <w:jc w:val="left"/>
            </w:pPr>
            <w:r>
              <w:rPr>
                <w:sz w:val="18"/>
              </w:rPr>
              <w:t xml:space="preserve">AdSv, AdMP, RPCA</w:t>
            </w:r>
          </w:p>
        </w:tc>
      </w:tr>
      <w:tr>
        <w:trPr>
          <w:cantSplit w:val="true"/>
        </w:trPr>
        <w:tc>
          <w:tcPr>
            <w:tcW w:w="3992" w:type="dxa"/>
          </w:tcPr>
          <w:p>
            <w:pPr>
              <w:pStyle w:val="Compact"/>
              <w:spacing w:after="20" w:before="20"/>
              <w:jc w:val="left"/>
            </w:pPr>
            <w:r>
              <w:rPr>
                <w:sz w:val="18"/>
              </w:rPr>
              <w:t xml:space="preserve">Validation</w:t>
            </w:r>
          </w:p>
        </w:tc>
        <w:tc>
          <w:tcPr>
            <w:tcW w:w="5419" w:type="dxa"/>
          </w:tcPr>
          <w:p>
            <w:pPr>
              <w:pStyle w:val="Compact"/>
              <w:spacing w:after="20" w:before="20"/>
              <w:jc w:val="left"/>
            </w:pPr>
            <w:r>
              <w:rPr>
                <w:sz w:val="18"/>
              </w:rPr>
              <w:t xml:space="preserve">DIO, Responsable de Production, RSSI</w:t>
            </w:r>
          </w:p>
        </w:tc>
      </w:tr>
      <w:tr>
        <w:trPr>
          <w:cantSplit w:val="true"/>
        </w:trPr>
        <w:tc>
          <w:tcPr>
            <w:tcW w:w="3992" w:type="dxa"/>
            <w:shd w:val="clear" w:color="auto" w:fill="EEF2F6"/>
          </w:tcPr>
          <w:p>
            <w:pPr>
              <w:pStyle w:val="Compact"/>
              <w:spacing w:after="20" w:before="20"/>
              <w:jc w:val="left"/>
            </w:pPr>
            <w:r>
              <w:rPr>
                <w:sz w:val="18"/>
              </w:rPr>
              <w:t xml:space="preserve">Validation des engagements (§9.1)</w:t>
            </w:r>
          </w:p>
        </w:tc>
        <w:tc>
          <w:tcPr>
            <w:tcW w:w="5419" w:type="dxa"/>
            <w:shd w:val="clear" w:color="auto" w:fill="EEF2F6"/>
          </w:tcPr>
          <w:p>
            <w:pPr>
              <w:pStyle w:val="Compact"/>
              <w:spacing w:after="20" w:before="20"/>
              <w:jc w:val="left"/>
            </w:pPr>
            <w:r>
              <w:rPr>
                <w:sz w:val="18"/>
              </w:rPr>
              <w:t xml:space="preserve">Propriétaires métier, en comité stratégique de continuité</w:t>
            </w:r>
          </w:p>
        </w:tc>
      </w:tr>
      <w:tr>
        <w:trPr>
          <w:cantSplit w:val="true"/>
        </w:trPr>
        <w:tc>
          <w:tcPr>
            <w:tcW w:w="3992" w:type="dxa"/>
          </w:tcPr>
          <w:p>
            <w:pPr>
              <w:pStyle w:val="Compact"/>
              <w:spacing w:after="20" w:before="20"/>
              <w:jc w:val="left"/>
            </w:pPr>
            <w:r>
              <w:rPr>
                <w:sz w:val="18"/>
              </w:rPr>
              <w:t xml:space="preserve">Approbation</w:t>
            </w:r>
          </w:p>
        </w:tc>
        <w:tc>
          <w:tcPr>
            <w:tcW w:w="5419" w:type="dxa"/>
          </w:tcPr>
          <w:p>
            <w:pPr>
              <w:pStyle w:val="Compact"/>
              <w:spacing w:after="20" w:before="20"/>
              <w:jc w:val="left"/>
            </w:pPr>
            <w:r>
              <w:rPr>
                <w:sz w:val="18"/>
              </w:rPr>
              <w:t xml:space="preserve">DSI</w:t>
            </w:r>
          </w:p>
        </w:tc>
      </w:tr>
      <w:tr>
        <w:trPr>
          <w:cantSplit w:val="true"/>
        </w:trPr>
        <w:tc>
          <w:tcPr>
            <w:tcW w:w="3992" w:type="dxa"/>
            <w:shd w:val="clear" w:color="auto" w:fill="EEF2F6"/>
          </w:tcPr>
          <w:p>
            <w:pPr>
              <w:pStyle w:val="Compact"/>
              <w:spacing w:after="20" w:before="20"/>
              <w:jc w:val="left"/>
            </w:pPr>
            <w:r>
              <w:rPr>
                <w:sz w:val="18"/>
              </w:rPr>
              <w:t xml:space="preserve">Acceptation des risques résiduels (§6.3.1)</w:t>
            </w:r>
          </w:p>
        </w:tc>
        <w:tc>
          <w:tcPr>
            <w:tcW w:w="5419" w:type="dxa"/>
            <w:shd w:val="clear" w:color="auto" w:fill="EEF2F6"/>
          </w:tcPr>
          <w:p>
            <w:pPr>
              <w:pStyle w:val="Compact"/>
              <w:spacing w:after="20" w:before="20"/>
              <w:jc w:val="left"/>
            </w:pPr>
            <w:r>
              <w:rPr>
                <w:sz w:val="18"/>
              </w:rPr>
              <w:t xml:space="preserve">Direction générale ou instance d'appétence au risque</w:t>
            </w:r>
          </w:p>
        </w:tc>
      </w:tr>
    </w:tbl>
    <w:p>
      <w:pPr>
        <w:pStyle w:val="BodyText"/>
      </w:pPr>
      <w:r>
        <w:t xml:space="preserve">Les résultats de la stratégie (indicateurs, exercices, incidents majeurs) alimentent la</w:t>
      </w:r>
      <w:r>
        <w:t xml:space="preserve"> </w:t>
      </w:r>
      <w:r>
        <w:rPr>
          <w:bCs/>
          <w:b/>
        </w:rPr>
        <w:t xml:space="preserve">revue de direction</w:t>
      </w:r>
      <w:r>
        <w:t xml:space="preserve"> </w:t>
      </w:r>
      <w:r>
        <w:t xml:space="preserve">du système de management de la continuité ou de la sécurité, lorsqu'il existe</w:t>
      </w:r>
      <w:r>
        <w:t xml:space="preserve"> </w:t>
      </w:r>
      <w:r>
        <w:rPr>
          <w:iCs/>
          <w:i/>
        </w:rPr>
        <w:t xml:space="preserve">(ajout)</w:t>
      </w:r>
      <w:r>
        <w:t xml:space="preserve">.</w:t>
      </w:r>
    </w:p>
    <w:bookmarkEnd w:id="79"/>
    <w:bookmarkStart w:id="80" w:name="Xa279fd1ec27a6a7004f3ae67ae34bffb76e6922"/>
    <w:p>
      <w:pPr>
        <w:pStyle w:val="Heading2"/>
      </w:pPr>
      <w:r>
        <w:t xml:space="preserve">7.6 Disponibilité de la documentation en situation de sinistre</w:t>
      </w:r>
      <w:r>
        <w:t xml:space="preserve"> </w:t>
      </w:r>
      <w:r>
        <w:rPr>
          <w:iCs/>
          <w:i/>
        </w:rPr>
        <w:t xml:space="preserve">(ajout)</w:t>
      </w:r>
    </w:p>
    <w:p>
      <w:pPr>
        <w:pStyle w:val="BlockText"/>
      </w:pPr>
      <w:r>
        <w:t xml:space="preserve">La stratégie, le plan de sauvegarde, les procédures de restauration et de reconstruction, l'ordre de priorité et les coordonnées des intervenants doivent rester</w:t>
      </w:r>
      <w:r>
        <w:t xml:space="preserve"> </w:t>
      </w:r>
      <w:r>
        <w:rPr>
          <w:bCs/>
          <w:b/>
        </w:rPr>
        <w:t xml:space="preserve">accessibles sans le système d'information</w:t>
      </w:r>
      <w:r>
        <w:t xml:space="preserve">.</w:t>
      </w:r>
    </w:p>
    <w:p>
      <w:pPr>
        <w:pStyle w:val="FirstParagraph"/>
      </w:pPr>
      <w:r>
        <w:t xml:space="preserve">Exigences minimales</w:t>
      </w:r>
      <w:r>
        <w:t xml:space="preserve"> </w:t>
      </w:r>
      <w:r>
        <w:rPr>
          <w:bCs/>
          <w:b/>
        </w:rPr>
        <w:t xml:space="preserve">[À VALIDER]</w:t>
      </w:r>
      <w:r>
        <w:t xml:space="preserve"> </w:t>
      </w:r>
      <w:r>
        <w:t xml:space="preserve">:</w:t>
      </w:r>
    </w:p>
    <w:p>
      <w:pPr>
        <w:numPr>
          <w:ilvl w:val="0"/>
          <w:numId w:val="1037"/>
        </w:numPr>
        <w:pStyle w:val="Compact"/>
      </w:pPr>
      <w:r>
        <w:t xml:space="preserve">une copie à jour dans le coffre isolé, avec les sauvegardes (§5.14, §5.19) ;</w:t>
      </w:r>
    </w:p>
    <w:p>
      <w:pPr>
        <w:numPr>
          <w:ilvl w:val="0"/>
          <w:numId w:val="1037"/>
        </w:numPr>
        <w:pStyle w:val="Compact"/>
      </w:pPr>
      <w:r>
        <w:t xml:space="preserve">une copie hors ligne (support chiffré ou papier) des procédures critiques et de l'annuaire de crise, détenue par le RPCI et son suppléant ;</w:t>
      </w:r>
    </w:p>
    <w:p>
      <w:pPr>
        <w:numPr>
          <w:ilvl w:val="0"/>
          <w:numId w:val="1037"/>
        </w:numPr>
        <w:pStyle w:val="Compact"/>
      </w:pPr>
      <w:r>
        <w:t xml:space="preserve">une vérification de la présence et de la lisibilité de ces copies à chaque exercice ;</w:t>
      </w:r>
    </w:p>
    <w:p>
      <w:pPr>
        <w:numPr>
          <w:ilvl w:val="0"/>
          <w:numId w:val="1037"/>
        </w:numPr>
        <w:pStyle w:val="Compact"/>
      </w:pPr>
      <w:r>
        <w:t xml:space="preserve">une mise à jour à chaque révision de la stratégie (§7.5).</w:t>
      </w:r>
    </w:p>
    <w:bookmarkEnd w:id="80"/>
    <w:bookmarkEnd w:id="81"/>
    <w:bookmarkStart w:id="97" w:name="modélisation-des-indisponibilités"/>
    <w:p>
      <w:pPr>
        <w:pStyle w:val="Heading1"/>
      </w:pPr>
      <w:r>
        <w:t xml:space="preserve">8. Modélisation des indisponibilités</w:t>
      </w:r>
    </w:p>
    <w:p>
      <w:pPr>
        <w:pStyle w:val="FirstParagraph"/>
      </w:pPr>
      <w:r>
        <w:t xml:space="preserve">La stratégie applicable aux données hébergées dans les sites de</w:t>
      </w:r>
      <w:r>
        <w:t xml:space="preserve"> </w:t>
      </w:r>
      <w:r>
        <w:rPr>
          <w:rStyle w:val="VerbatimChar"/>
          <w:b/>
          <w:color w:val="8A5A00"/>
        </w:rPr>
        <w:t xml:space="preserve">{{ORGANISATION}}</w:t>
      </w:r>
      <w:r>
        <w:t xml:space="preserve"> </w:t>
      </w:r>
      <w:r>
        <w:t xml:space="preserve">(§8.1 à §8.7) repose sur cinq hypothèses d'indisponibilité :</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636"/>
        <w:gridCol w:w="3182"/>
        <w:gridCol w:w="1781"/>
        <w:gridCol w:w="3812"/>
      </w:tblGrid>
      <w:tr>
        <w:trPr>
          <w:tblHeader w:val="true"/>
          <w:tblHeader w:val="true"/>
          <w:cantSplit w:val="true"/>
        </w:trPr>
        <w:tc>
          <w:tcPr>
            <w:tcW w:w="636" w:type="dxa"/>
            <w:shd w:val="clear" w:color="auto" w:fill="1F3A5F"/>
          </w:tcPr>
          <w:p>
            <w:pPr>
              <w:pStyle w:val="Compact"/>
              <w:spacing w:after="20" w:before="20"/>
              <w:jc w:val="left"/>
            </w:pPr>
            <w:r>
              <w:rPr>
                <w:b/>
                <w:color w:val="FFFFFF"/>
                <w:sz w:val="18"/>
              </w:rPr>
              <w:t xml:space="preserve">Code</w:t>
            </w:r>
          </w:p>
        </w:tc>
        <w:tc>
          <w:tcPr>
            <w:tcW w:w="3182" w:type="dxa"/>
            <w:shd w:val="clear" w:color="auto" w:fill="1F3A5F"/>
          </w:tcPr>
          <w:p>
            <w:pPr>
              <w:pStyle w:val="Compact"/>
              <w:spacing w:after="20" w:before="20"/>
              <w:jc w:val="left"/>
            </w:pPr>
            <w:r>
              <w:rPr>
                <w:b/>
                <w:color w:val="FFFFFF"/>
                <w:sz w:val="18"/>
              </w:rPr>
              <w:t xml:space="preserve">Scénario</w:t>
            </w:r>
          </w:p>
        </w:tc>
        <w:tc>
          <w:tcPr>
            <w:tcW w:w="1781" w:type="dxa"/>
            <w:shd w:val="clear" w:color="auto" w:fill="1F3A5F"/>
          </w:tcPr>
          <w:p>
            <w:pPr>
              <w:pStyle w:val="Compact"/>
              <w:spacing w:after="20" w:before="20"/>
              <w:jc w:val="left"/>
            </w:pPr>
            <w:r>
              <w:rPr>
                <w:b/>
                <w:color w:val="FFFFFF"/>
                <w:sz w:val="18"/>
              </w:rPr>
              <w:t xml:space="preserve">Nature</w:t>
            </w:r>
          </w:p>
        </w:tc>
        <w:tc>
          <w:tcPr>
            <w:tcW w:w="3812" w:type="dxa"/>
            <w:shd w:val="clear" w:color="auto" w:fill="1F3A5F"/>
          </w:tcPr>
          <w:p>
            <w:pPr>
              <w:pStyle w:val="Compact"/>
              <w:spacing w:after="20" w:before="20"/>
              <w:jc w:val="left"/>
            </w:pPr>
            <w:r>
              <w:rPr>
                <w:b/>
                <w:color w:val="FFFFFF"/>
                <w:sz w:val="18"/>
              </w:rPr>
              <w:t xml:space="preserve">Étendue</w:t>
            </w:r>
          </w:p>
        </w:tc>
      </w:tr>
      <w:tr>
        <w:trPr>
          <w:cantSplit w:val="true"/>
        </w:trPr>
        <w:tc>
          <w:tcPr>
            <w:tcW w:w="636" w:type="dxa"/>
          </w:tcPr>
          <w:p>
            <w:pPr>
              <w:pStyle w:val="Compact"/>
              <w:spacing w:after="20" w:before="20"/>
              <w:jc w:val="left"/>
            </w:pPr>
            <w:r>
              <w:rPr>
                <w:bCs/>
                <w:b/>
                <w:sz w:val="18"/>
              </w:rPr>
              <w:t xml:space="preserve">IPG</w:t>
            </w:r>
          </w:p>
        </w:tc>
        <w:tc>
          <w:tcPr>
            <w:tcW w:w="3182" w:type="dxa"/>
          </w:tcPr>
          <w:p>
            <w:pPr>
              <w:pStyle w:val="Compact"/>
              <w:spacing w:after="20" w:before="20"/>
              <w:jc w:val="left"/>
            </w:pPr>
            <w:r>
              <w:rPr>
                <w:sz w:val="18"/>
              </w:rPr>
              <w:t xml:space="preserve">Indisponibilité Physique Globale</w:t>
            </w:r>
          </w:p>
        </w:tc>
        <w:tc>
          <w:tcPr>
            <w:tcW w:w="1781" w:type="dxa"/>
          </w:tcPr>
          <w:p>
            <w:pPr>
              <w:pStyle w:val="Compact"/>
              <w:spacing w:after="20" w:before="20"/>
              <w:jc w:val="left"/>
            </w:pPr>
            <w:r>
              <w:rPr>
                <w:sz w:val="18"/>
              </w:rPr>
              <w:t xml:space="preserve">Physique</w:t>
            </w:r>
          </w:p>
        </w:tc>
        <w:tc>
          <w:tcPr>
            <w:tcW w:w="3812" w:type="dxa"/>
          </w:tcPr>
          <w:p>
            <w:pPr>
              <w:pStyle w:val="Compact"/>
              <w:spacing w:after="20" w:before="20"/>
              <w:jc w:val="left"/>
            </w:pPr>
            <w:r>
              <w:rPr>
                <w:sz w:val="18"/>
              </w:rPr>
              <w:t xml:space="preserve">Tous les sites</w:t>
            </w:r>
          </w:p>
        </w:tc>
      </w:tr>
      <w:tr>
        <w:trPr>
          <w:cantSplit w:val="true"/>
        </w:trPr>
        <w:tc>
          <w:tcPr>
            <w:tcW w:w="636" w:type="dxa"/>
            <w:shd w:val="clear" w:color="auto" w:fill="EEF2F6"/>
          </w:tcPr>
          <w:p>
            <w:pPr>
              <w:pStyle w:val="Compact"/>
              <w:spacing w:after="20" w:before="20"/>
              <w:jc w:val="left"/>
            </w:pPr>
            <w:r>
              <w:rPr>
                <w:bCs/>
                <w:b/>
                <w:sz w:val="18"/>
              </w:rPr>
              <w:t xml:space="preserve">IPP</w:t>
            </w:r>
          </w:p>
        </w:tc>
        <w:tc>
          <w:tcPr>
            <w:tcW w:w="3182" w:type="dxa"/>
            <w:shd w:val="clear" w:color="auto" w:fill="EEF2F6"/>
          </w:tcPr>
          <w:p>
            <w:pPr>
              <w:pStyle w:val="Compact"/>
              <w:spacing w:after="20" w:before="20"/>
              <w:jc w:val="left"/>
            </w:pPr>
            <w:r>
              <w:rPr>
                <w:sz w:val="18"/>
              </w:rPr>
              <w:t xml:space="preserve">Indisponibilité Physique Partielle</w:t>
            </w:r>
          </w:p>
        </w:tc>
        <w:tc>
          <w:tcPr>
            <w:tcW w:w="1781" w:type="dxa"/>
            <w:shd w:val="clear" w:color="auto" w:fill="EEF2F6"/>
          </w:tcPr>
          <w:p>
            <w:pPr>
              <w:pStyle w:val="Compact"/>
              <w:spacing w:after="20" w:before="20"/>
              <w:jc w:val="left"/>
            </w:pPr>
            <w:r>
              <w:rPr>
                <w:sz w:val="18"/>
              </w:rPr>
              <w:t xml:space="preserve">Physique</w:t>
            </w:r>
          </w:p>
        </w:tc>
        <w:tc>
          <w:tcPr>
            <w:tcW w:w="3812" w:type="dxa"/>
            <w:shd w:val="clear" w:color="auto" w:fill="EEF2F6"/>
          </w:tcPr>
          <w:p>
            <w:pPr>
              <w:pStyle w:val="Compact"/>
              <w:spacing w:after="20" w:before="20"/>
              <w:jc w:val="left"/>
            </w:pPr>
            <w:r>
              <w:rPr>
                <w:sz w:val="18"/>
              </w:rPr>
              <w:t xml:space="preserve">Un site ou une ressource vitale d'un site</w:t>
            </w:r>
          </w:p>
        </w:tc>
      </w:tr>
      <w:tr>
        <w:trPr>
          <w:cantSplit w:val="true"/>
        </w:trPr>
        <w:tc>
          <w:tcPr>
            <w:tcW w:w="636" w:type="dxa"/>
          </w:tcPr>
          <w:p>
            <w:pPr>
              <w:pStyle w:val="Compact"/>
              <w:spacing w:after="20" w:before="20"/>
              <w:jc w:val="left"/>
            </w:pPr>
            <w:r>
              <w:rPr>
                <w:bCs/>
                <w:b/>
                <w:sz w:val="18"/>
              </w:rPr>
              <w:t xml:space="preserve">ILG</w:t>
            </w:r>
          </w:p>
        </w:tc>
        <w:tc>
          <w:tcPr>
            <w:tcW w:w="3182" w:type="dxa"/>
          </w:tcPr>
          <w:p>
            <w:pPr>
              <w:pStyle w:val="Compact"/>
              <w:spacing w:after="20" w:before="20"/>
              <w:jc w:val="left"/>
            </w:pPr>
            <w:r>
              <w:rPr>
                <w:sz w:val="18"/>
              </w:rPr>
              <w:t xml:space="preserve">Indisponibilité Logique Globale</w:t>
            </w:r>
          </w:p>
        </w:tc>
        <w:tc>
          <w:tcPr>
            <w:tcW w:w="1781" w:type="dxa"/>
          </w:tcPr>
          <w:p>
            <w:pPr>
              <w:pStyle w:val="Compact"/>
              <w:spacing w:after="20" w:before="20"/>
              <w:jc w:val="left"/>
            </w:pPr>
            <w:r>
              <w:rPr>
                <w:sz w:val="18"/>
              </w:rPr>
              <w:t xml:space="preserve">Logique</w:t>
            </w:r>
          </w:p>
        </w:tc>
        <w:tc>
          <w:tcPr>
            <w:tcW w:w="3812" w:type="dxa"/>
          </w:tcPr>
          <w:p>
            <w:pPr>
              <w:pStyle w:val="Compact"/>
              <w:spacing w:after="20" w:before="20"/>
              <w:jc w:val="left"/>
            </w:pPr>
            <w:r>
              <w:rPr>
                <w:sz w:val="18"/>
              </w:rPr>
              <w:t xml:space="preserve">Données primaires de tous les sites</w:t>
            </w:r>
          </w:p>
        </w:tc>
      </w:tr>
      <w:tr>
        <w:trPr>
          <w:cantSplit w:val="true"/>
        </w:trPr>
        <w:tc>
          <w:tcPr>
            <w:tcW w:w="636" w:type="dxa"/>
            <w:shd w:val="clear" w:color="auto" w:fill="EEF2F6"/>
          </w:tcPr>
          <w:p>
            <w:pPr>
              <w:pStyle w:val="Compact"/>
              <w:spacing w:after="20" w:before="20"/>
              <w:jc w:val="left"/>
            </w:pPr>
            <w:r>
              <w:rPr>
                <w:bCs/>
                <w:b/>
                <w:sz w:val="18"/>
              </w:rPr>
              <w:t xml:space="preserve">ILP</w:t>
            </w:r>
          </w:p>
        </w:tc>
        <w:tc>
          <w:tcPr>
            <w:tcW w:w="3182" w:type="dxa"/>
            <w:shd w:val="clear" w:color="auto" w:fill="EEF2F6"/>
          </w:tcPr>
          <w:p>
            <w:pPr>
              <w:pStyle w:val="Compact"/>
              <w:spacing w:after="20" w:before="20"/>
              <w:jc w:val="left"/>
            </w:pPr>
            <w:r>
              <w:rPr>
                <w:sz w:val="18"/>
              </w:rPr>
              <w:t xml:space="preserve">Indisponibilité Logique Partielle</w:t>
            </w:r>
          </w:p>
        </w:tc>
        <w:tc>
          <w:tcPr>
            <w:tcW w:w="1781" w:type="dxa"/>
            <w:shd w:val="clear" w:color="auto" w:fill="EEF2F6"/>
          </w:tcPr>
          <w:p>
            <w:pPr>
              <w:pStyle w:val="Compact"/>
              <w:spacing w:after="20" w:before="20"/>
              <w:jc w:val="left"/>
            </w:pPr>
            <w:r>
              <w:rPr>
                <w:sz w:val="18"/>
              </w:rPr>
              <w:t xml:space="preserve">Logique</w:t>
            </w:r>
          </w:p>
        </w:tc>
        <w:tc>
          <w:tcPr>
            <w:tcW w:w="3812" w:type="dxa"/>
            <w:shd w:val="clear" w:color="auto" w:fill="EEF2F6"/>
          </w:tcPr>
          <w:p>
            <w:pPr>
              <w:pStyle w:val="Compact"/>
              <w:spacing w:after="20" w:before="20"/>
              <w:jc w:val="left"/>
            </w:pPr>
            <w:r>
              <w:rPr>
                <w:sz w:val="18"/>
              </w:rPr>
              <w:t xml:space="preserve">Sous-ensemble de données</w:t>
            </w:r>
          </w:p>
        </w:tc>
      </w:tr>
      <w:tr>
        <w:trPr>
          <w:cantSplit w:val="true"/>
        </w:trPr>
        <w:tc>
          <w:tcPr>
            <w:tcW w:w="636" w:type="dxa"/>
          </w:tcPr>
          <w:p>
            <w:pPr>
              <w:pStyle w:val="Compact"/>
              <w:spacing w:after="20" w:before="20"/>
              <w:jc w:val="left"/>
            </w:pPr>
            <w:r>
              <w:rPr>
                <w:bCs/>
                <w:b/>
                <w:sz w:val="18"/>
              </w:rPr>
              <w:t xml:space="preserve">ND</w:t>
            </w:r>
          </w:p>
        </w:tc>
        <w:tc>
          <w:tcPr>
            <w:tcW w:w="3182" w:type="dxa"/>
          </w:tcPr>
          <w:p>
            <w:pPr>
              <w:pStyle w:val="Compact"/>
              <w:spacing w:after="20" w:before="20"/>
              <w:jc w:val="left"/>
            </w:pPr>
            <w:r>
              <w:rPr>
                <w:sz w:val="18"/>
              </w:rPr>
              <w:t xml:space="preserve">Fonctionnement Nominal Dégradé</w:t>
            </w:r>
          </w:p>
        </w:tc>
        <w:tc>
          <w:tcPr>
            <w:tcW w:w="1781" w:type="dxa"/>
          </w:tcPr>
          <w:p>
            <w:pPr>
              <w:pStyle w:val="Compact"/>
              <w:spacing w:after="20" w:before="20"/>
              <w:jc w:val="left"/>
            </w:pPr>
            <w:r>
              <w:rPr>
                <w:sz w:val="18"/>
              </w:rPr>
              <w:t xml:space="preserve">Physique ou logique</w:t>
            </w:r>
          </w:p>
        </w:tc>
        <w:tc>
          <w:tcPr>
            <w:tcW w:w="3812" w:type="dxa"/>
          </w:tcPr>
          <w:p>
            <w:pPr>
              <w:pStyle w:val="Compact"/>
              <w:spacing w:after="20" w:before="20"/>
              <w:jc w:val="left"/>
            </w:pPr>
            <w:r>
              <w:rPr>
                <w:sz w:val="18"/>
              </w:rPr>
              <w:t xml:space="preserve">Sans impact métier</w:t>
            </w:r>
          </w:p>
        </w:tc>
      </w:tr>
    </w:tbl>
    <w:p>
      <w:pPr>
        <w:pStyle w:val="BodyText"/>
      </w:pPr>
      <w:r>
        <w:t xml:space="preserve">Les données hébergées hors site sont traitées au §8.8. Le sinistre total est hors périmètre (§6.3.1).</w:t>
      </w:r>
    </w:p>
    <w:bookmarkStart w:id="82" w:name="X91500885b4377b6a86c015e048e1b86b709e6bb"/>
    <w:p>
      <w:pPr>
        <w:pStyle w:val="Heading2"/>
      </w:pPr>
      <w:r>
        <w:t xml:space="preserve">8.1 Architecture de référence et influence sur la stratégie</w:t>
      </w:r>
    </w:p>
    <w:p>
      <w:pPr>
        <w:pStyle w:val="FirstParagraph"/>
      </w:pPr>
      <w:r>
        <w:rPr>
          <w:bCs/>
          <w:b/>
        </w:rPr>
        <w:t xml:space="preserve">[À COMPLÉTER]</w:t>
      </w:r>
      <w:r>
        <w:t xml:space="preserve"> </w:t>
      </w:r>
      <w:r>
        <w:t xml:space="preserve">— Insérer le schéma d'architecture de</w:t>
      </w:r>
      <w:r>
        <w:t xml:space="preserve"> </w:t>
      </w:r>
      <w:r>
        <w:rPr>
          <w:rStyle w:val="VerbatimChar"/>
          <w:b/>
          <w:color w:val="8A5A00"/>
        </w:rPr>
        <w:t xml:space="preserve">{{ORGANISATION}}</w:t>
      </w:r>
      <w:r>
        <w:t xml:space="preserve"> </w:t>
      </w:r>
      <w:r>
        <w:t xml:space="preserve">et décrire le rôle de chaque site. L'architecture conditionne directement la couverture des scénarios physiques ; le tableau ci-dessous aide à situer l'organisation parmi les configurations courantes.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137"/>
        <w:gridCol w:w="3137"/>
        <w:gridCol w:w="3137"/>
      </w:tblGrid>
      <w:tr>
        <w:trPr>
          <w:tblHeader w:val="true"/>
          <w:tblHeader w:val="true"/>
          <w:cantSplit w:val="true"/>
        </w:trPr>
        <w:tc>
          <w:tcPr>
            <w:tcW w:w="3137" w:type="dxa"/>
            <w:shd w:val="clear" w:color="auto" w:fill="1F3A5F"/>
          </w:tcPr>
          <w:p>
            <w:pPr>
              <w:pStyle w:val="Compact"/>
              <w:spacing w:after="20" w:before="20"/>
              <w:jc w:val="left"/>
            </w:pPr>
            <w:r>
              <w:rPr>
                <w:b/>
                <w:color w:val="FFFFFF"/>
                <w:sz w:val="18"/>
              </w:rPr>
              <w:t xml:space="preserve">Configuration</w:t>
            </w:r>
          </w:p>
        </w:tc>
        <w:tc>
          <w:tcPr>
            <w:tcW w:w="3137" w:type="dxa"/>
            <w:shd w:val="clear" w:color="auto" w:fill="1F3A5F"/>
          </w:tcPr>
          <w:p>
            <w:pPr>
              <w:pStyle w:val="Compact"/>
              <w:spacing w:after="20" w:before="20"/>
              <w:jc w:val="left"/>
            </w:pPr>
            <w:r>
              <w:rPr>
                <w:b/>
                <w:color w:val="FFFFFF"/>
                <w:sz w:val="18"/>
              </w:rPr>
              <w:t xml:space="preserve">Couverture de l'IPP</w:t>
            </w:r>
          </w:p>
        </w:tc>
        <w:tc>
          <w:tcPr>
            <w:tcW w:w="3137" w:type="dxa"/>
            <w:shd w:val="clear" w:color="auto" w:fill="1F3A5F"/>
          </w:tcPr>
          <w:p>
            <w:pPr>
              <w:pStyle w:val="Compact"/>
              <w:spacing w:after="20" w:before="20"/>
              <w:jc w:val="left"/>
            </w:pPr>
            <w:r>
              <w:rPr>
                <w:b/>
                <w:color w:val="FFFFFF"/>
                <w:sz w:val="18"/>
              </w:rPr>
              <w:t xml:space="preserve">Point d'attention pour la stratégie</w:t>
            </w:r>
          </w:p>
        </w:tc>
      </w:tr>
      <w:tr>
        <w:trPr>
          <w:cantSplit w:val="true"/>
        </w:trPr>
        <w:tc>
          <w:tcPr>
            <w:tcW w:w="3137" w:type="dxa"/>
          </w:tcPr>
          <w:p>
            <w:pPr>
              <w:pStyle w:val="Compact"/>
              <w:spacing w:after="20" w:before="20"/>
              <w:jc w:val="left"/>
            </w:pPr>
            <w:r>
              <w:rPr>
                <w:bCs/>
                <w:b/>
                <w:sz w:val="18"/>
              </w:rPr>
              <w:t xml:space="preserve">Mono-site</w:t>
            </w:r>
            <w:r>
              <w:rPr>
                <w:sz w:val="18"/>
              </w:rPr>
              <w:t xml:space="preserve">, secours externalisé (contrat de secours, cloud, hébergeur)</w:t>
            </w:r>
          </w:p>
        </w:tc>
        <w:tc>
          <w:tcPr>
            <w:tcW w:w="3137" w:type="dxa"/>
          </w:tcPr>
          <w:p>
            <w:pPr>
              <w:pStyle w:val="Compact"/>
              <w:spacing w:after="20" w:before="20"/>
              <w:jc w:val="left"/>
            </w:pPr>
            <w:r>
              <w:rPr>
                <w:sz w:val="18"/>
              </w:rPr>
              <w:t xml:space="preserve">Par restauration sur l'infrastructure de secours : DMIA longue</w:t>
            </w:r>
          </w:p>
        </w:tc>
        <w:tc>
          <w:tcPr>
            <w:tcW w:w="3137" w:type="dxa"/>
          </w:tcPr>
          <w:p>
            <w:pPr>
              <w:pStyle w:val="Compact"/>
              <w:spacing w:after="20" w:before="20"/>
              <w:jc w:val="left"/>
            </w:pPr>
            <w:r>
              <w:rPr>
                <w:sz w:val="18"/>
              </w:rPr>
              <w:t xml:space="preserve">Les copies externalisées sont la seule protection contre la perte du site ; la DMIA dépend du délai de mise à disposition du secours</w:t>
            </w:r>
          </w:p>
        </w:tc>
      </w:tr>
      <w:tr>
        <w:trPr>
          <w:cantSplit w:val="true"/>
        </w:trPr>
        <w:tc>
          <w:tcPr>
            <w:tcW w:w="3137" w:type="dxa"/>
            <w:shd w:val="clear" w:color="auto" w:fill="EEF2F6"/>
          </w:tcPr>
          <w:p>
            <w:pPr>
              <w:pStyle w:val="Compact"/>
              <w:spacing w:after="20" w:before="20"/>
              <w:jc w:val="left"/>
            </w:pPr>
            <w:r>
              <w:rPr>
                <w:bCs/>
                <w:b/>
                <w:sz w:val="18"/>
              </w:rPr>
              <w:t xml:space="preserve">Bi-site</w:t>
            </w:r>
            <w:r>
              <w:rPr>
                <w:sz w:val="18"/>
              </w:rPr>
              <w:t xml:space="preserve"> </w:t>
            </w:r>
            <w:r>
              <w:rPr>
                <w:sz w:val="18"/>
              </w:rPr>
              <w:t xml:space="preserve">actif-passif ou actif-actif</w:t>
            </w:r>
          </w:p>
        </w:tc>
        <w:tc>
          <w:tcPr>
            <w:tcW w:w="3137" w:type="dxa"/>
            <w:shd w:val="clear" w:color="auto" w:fill="EEF2F6"/>
          </w:tcPr>
          <w:p>
            <w:pPr>
              <w:pStyle w:val="Compact"/>
              <w:spacing w:after="20" w:before="20"/>
              <w:jc w:val="left"/>
            </w:pPr>
            <w:r>
              <w:rPr>
                <w:sz w:val="18"/>
              </w:rPr>
              <w:t xml:space="preserve">Par bascule : DMIA courte</w:t>
            </w:r>
          </w:p>
        </w:tc>
        <w:tc>
          <w:tcPr>
            <w:tcW w:w="3137" w:type="dxa"/>
            <w:shd w:val="clear" w:color="auto" w:fill="EEF2F6"/>
          </w:tcPr>
          <w:p>
            <w:pPr>
              <w:pStyle w:val="Compact"/>
              <w:spacing w:after="20" w:before="20"/>
              <w:jc w:val="left"/>
            </w:pPr>
            <w:r>
              <w:rPr>
                <w:sz w:val="18"/>
              </w:rPr>
              <w:t xml:space="preserve">Le site secondaire réplique aussi les altérations logiques ; une copie isolée hors des deux sites reste nécessaire</w:t>
            </w:r>
          </w:p>
        </w:tc>
      </w:tr>
      <w:tr>
        <w:trPr>
          <w:cantSplit w:val="true"/>
        </w:trPr>
        <w:tc>
          <w:tcPr>
            <w:tcW w:w="3137" w:type="dxa"/>
          </w:tcPr>
          <w:p>
            <w:pPr>
              <w:pStyle w:val="Compact"/>
              <w:spacing w:after="20" w:before="20"/>
              <w:jc w:val="left"/>
            </w:pPr>
            <w:r>
              <w:rPr>
                <w:bCs/>
                <w:b/>
                <w:sz w:val="18"/>
              </w:rPr>
              <w:t xml:space="preserve">Multi-site</w:t>
            </w:r>
            <w:r>
              <w:rPr>
                <w:sz w:val="18"/>
              </w:rPr>
              <w:t xml:space="preserve">, rôles spécialisés (production, reprise, administration)</w:t>
            </w:r>
          </w:p>
        </w:tc>
        <w:tc>
          <w:tcPr>
            <w:tcW w:w="3137" w:type="dxa"/>
          </w:tcPr>
          <w:p>
            <w:pPr>
              <w:pStyle w:val="Compact"/>
              <w:spacing w:after="20" w:before="20"/>
              <w:jc w:val="left"/>
            </w:pPr>
            <w:r>
              <w:rPr>
                <w:sz w:val="18"/>
              </w:rPr>
              <w:t xml:space="preserve">Par bascule et répartition des applications</w:t>
            </w:r>
          </w:p>
        </w:tc>
        <w:tc>
          <w:tcPr>
            <w:tcW w:w="3137" w:type="dxa"/>
          </w:tcPr>
          <w:p>
            <w:pPr>
              <w:pStyle w:val="Compact"/>
              <w:spacing w:after="20" w:before="20"/>
              <w:jc w:val="left"/>
            </w:pPr>
            <w:r>
              <w:rPr>
                <w:sz w:val="18"/>
              </w:rPr>
              <w:t xml:space="preserve">La spécialisation n'apporte de résilience que si les domaines d'administration sont séparés</w:t>
            </w:r>
          </w:p>
        </w:tc>
      </w:tr>
      <w:tr>
        <w:trPr>
          <w:cantSplit w:val="true"/>
        </w:trPr>
        <w:tc>
          <w:tcPr>
            <w:tcW w:w="3137" w:type="dxa"/>
            <w:shd w:val="clear" w:color="auto" w:fill="EEF2F6"/>
          </w:tcPr>
          <w:p>
            <w:pPr>
              <w:pStyle w:val="Compact"/>
              <w:spacing w:after="20" w:before="20"/>
              <w:jc w:val="left"/>
            </w:pPr>
            <w:r>
              <w:rPr>
                <w:bCs/>
                <w:b/>
                <w:sz w:val="18"/>
              </w:rPr>
              <w:t xml:space="preserve">Hybride</w:t>
            </w:r>
            <w:r>
              <w:rPr>
                <w:sz w:val="18"/>
              </w:rPr>
              <w:t xml:space="preserve"> </w:t>
            </w:r>
            <w:r>
              <w:rPr>
                <w:sz w:val="18"/>
              </w:rPr>
              <w:t xml:space="preserve">sur site et cloud</w:t>
            </w:r>
          </w:p>
        </w:tc>
        <w:tc>
          <w:tcPr>
            <w:tcW w:w="3137" w:type="dxa"/>
            <w:shd w:val="clear" w:color="auto" w:fill="EEF2F6"/>
          </w:tcPr>
          <w:p>
            <w:pPr>
              <w:pStyle w:val="Compact"/>
              <w:spacing w:after="20" w:before="20"/>
              <w:jc w:val="left"/>
            </w:pPr>
            <w:r>
              <w:rPr>
                <w:sz w:val="18"/>
              </w:rPr>
              <w:t xml:space="preserve">Selon le service</w:t>
            </w:r>
          </w:p>
        </w:tc>
        <w:tc>
          <w:tcPr>
            <w:tcW w:w="3137" w:type="dxa"/>
            <w:shd w:val="clear" w:color="auto" w:fill="EEF2F6"/>
          </w:tcPr>
          <w:p>
            <w:pPr>
              <w:pStyle w:val="Compact"/>
              <w:spacing w:after="20" w:before="20"/>
              <w:jc w:val="left"/>
            </w:pPr>
            <w:r>
              <w:rPr>
                <w:sz w:val="18"/>
              </w:rPr>
              <w:t xml:space="preserve">Modèle de responsabilité partagée (§6.2.6) ; réversibilité et localisation des copies à contractualiser</w:t>
            </w:r>
          </w:p>
        </w:tc>
      </w:tr>
    </w:tbl>
    <w:p>
      <w:pPr>
        <w:pStyle w:val="BodyText"/>
      </w:pPr>
      <w:r>
        <w:t xml:space="preserve">Principes structurants, quelle que soit la configuration :</w:t>
      </w:r>
    </w:p>
    <w:p>
      <w:pPr>
        <w:numPr>
          <w:ilvl w:val="0"/>
          <w:numId w:val="1038"/>
        </w:numPr>
        <w:pStyle w:val="Compact"/>
      </w:pPr>
      <w:r>
        <w:t xml:space="preserve">la</w:t>
      </w:r>
      <w:r>
        <w:t xml:space="preserve"> </w:t>
      </w:r>
      <w:r>
        <w:rPr>
          <w:bCs/>
          <w:b/>
        </w:rPr>
        <w:t xml:space="preserve">répartition des applications</w:t>
      </w:r>
      <w:r>
        <w:t xml:space="preserve"> </w:t>
      </w:r>
      <w:r>
        <w:t xml:space="preserve">entre sites et la</w:t>
      </w:r>
      <w:r>
        <w:t xml:space="preserve"> </w:t>
      </w:r>
      <w:r>
        <w:rPr>
          <w:bCs/>
          <w:b/>
        </w:rPr>
        <w:t xml:space="preserve">généralisation de la haute disponibilité</w:t>
      </w:r>
      <w:r>
        <w:t xml:space="preserve"> </w:t>
      </w:r>
      <w:r>
        <w:t xml:space="preserve">transforment la majorité des incidents physiques en incidents de niveau « nominal dégradé » ;</w:t>
      </w:r>
    </w:p>
    <w:p>
      <w:pPr>
        <w:numPr>
          <w:ilvl w:val="0"/>
          <w:numId w:val="1038"/>
        </w:numPr>
        <w:pStyle w:val="Compact"/>
      </w:pPr>
      <w:r>
        <w:rPr>
          <w:bCs/>
          <w:b/>
        </w:rPr>
        <w:t xml:space="preserve">le coffre des sauvegardes et le plan d'administration de la sauvegarde ne partagent pas les privilèges d'administration de la production</w:t>
      </w:r>
      <w:r>
        <w:t xml:space="preserve"> </w:t>
      </w:r>
      <w:r>
        <w:t xml:space="preserve">: c'est ce qui leur permet de survivre à une compromission de l'annuaire de production ;</w:t>
      </w:r>
    </w:p>
    <w:p>
      <w:pPr>
        <w:numPr>
          <w:ilvl w:val="0"/>
          <w:numId w:val="1038"/>
        </w:numPr>
        <w:pStyle w:val="Compact"/>
      </w:pPr>
      <w:r>
        <w:t xml:space="preserve">les flux de réplication, de pilotage et de reprise entre sites sont documentés ; ceux vers le coffre sont restreints (§5.14).</w:t>
      </w:r>
    </w:p>
    <w:bookmarkEnd w:id="82"/>
    <w:bookmarkStart w:id="83" w:name="indisponibilité-physique-globale-ipg"/>
    <w:p>
      <w:pPr>
        <w:pStyle w:val="Heading2"/>
      </w:pPr>
      <w:r>
        <w:t xml:space="preserve">8.2 Indisponibilité Physique Globale (IPG)</w:t>
      </w:r>
    </w:p>
    <w:p>
      <w:pPr>
        <w:pStyle w:val="FirstParagraph"/>
      </w:pPr>
      <w:r>
        <w:rPr>
          <w:bCs/>
          <w:b/>
        </w:rPr>
        <w:t xml:space="preserve">Définition</w:t>
      </w:r>
      <w:r>
        <w:t xml:space="preserve"> </w:t>
      </w:r>
      <w:r>
        <w:t xml:space="preserve">— Situation de « choc extrême » correspondant :</w:t>
      </w:r>
    </w:p>
    <w:p>
      <w:pPr>
        <w:numPr>
          <w:ilvl w:val="0"/>
          <w:numId w:val="1039"/>
        </w:numPr>
        <w:pStyle w:val="Compact"/>
      </w:pPr>
      <w:r>
        <w:t xml:space="preserve">soit à l'indisponibilité simultanée et totale de tous les sites d'hébergement de</w:t>
      </w:r>
      <w:r>
        <w:t xml:space="preserve"> </w:t>
      </w:r>
      <w:r>
        <w:rPr>
          <w:rStyle w:val="VerbatimChar"/>
          <w:b/>
          <w:color w:val="8A5A00"/>
        </w:rPr>
        <w:t xml:space="preserve">{{ORGANISATION}}</w:t>
      </w:r>
      <w:r>
        <w:t xml:space="preserve"> </w:t>
      </w:r>
      <w:r>
        <w:t xml:space="preserve">;</w:t>
      </w:r>
    </w:p>
    <w:p>
      <w:pPr>
        <w:numPr>
          <w:ilvl w:val="0"/>
          <w:numId w:val="1039"/>
        </w:numPr>
        <w:pStyle w:val="Compact"/>
      </w:pPr>
      <w:r>
        <w:t xml:space="preserve">soit à l'indisponibilité simultanée et totale d'au moins un type de ressource vitale (calcul, stockage, réseau) sur tous les sites, même si ceux-ci restent accessibles.</w:t>
      </w:r>
    </w:p>
    <w:p>
      <w:pPr>
        <w:pStyle w:val="FirstParagraph"/>
      </w:pPr>
      <w:r>
        <w:rPr>
          <w:bCs/>
          <w:b/>
        </w:rPr>
        <w:t xml:space="preserve">Stratégie de sauvegarde associée [À VALIDER]</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525"/>
        <w:gridCol w:w="6886"/>
      </w:tblGrid>
      <w:tr>
        <w:trPr>
          <w:tblHeader w:val="true"/>
          <w:tblHeader w:val="true"/>
          <w:cantSplit w:val="true"/>
        </w:trPr>
        <w:tc>
          <w:tcPr>
            <w:tcW w:w="2525" w:type="dxa"/>
            <w:shd w:val="clear" w:color="auto" w:fill="1F3A5F"/>
          </w:tcPr>
          <w:p>
            <w:pPr>
              <w:pStyle w:val="Compact"/>
              <w:spacing w:after="20" w:before="20"/>
              <w:jc w:val="left"/>
            </w:pPr>
            <w:r>
              <w:rPr>
                <w:b/>
                <w:color w:val="FFFFFF"/>
                <w:sz w:val="18"/>
              </w:rPr>
              <w:t xml:space="preserve">Phase</w:t>
            </w:r>
          </w:p>
        </w:tc>
        <w:tc>
          <w:tcPr>
            <w:tcW w:w="6886" w:type="dxa"/>
            <w:shd w:val="clear" w:color="auto" w:fill="1F3A5F"/>
          </w:tcPr>
          <w:p>
            <w:pPr>
              <w:pStyle w:val="Compact"/>
              <w:spacing w:after="20" w:before="20"/>
              <w:jc w:val="left"/>
            </w:pPr>
            <w:r>
              <w:rPr>
                <w:b/>
                <w:color w:val="FFFFFF"/>
                <w:sz w:val="18"/>
              </w:rPr>
              <w:t xml:space="preserve">Dispositions</w:t>
            </w:r>
          </w:p>
        </w:tc>
      </w:tr>
      <w:tr>
        <w:trPr>
          <w:cantSplit w:val="true"/>
        </w:trPr>
        <w:tc>
          <w:tcPr>
            <w:tcW w:w="2525" w:type="dxa"/>
          </w:tcPr>
          <w:p>
            <w:pPr>
              <w:pStyle w:val="Compact"/>
              <w:spacing w:after="20" w:before="20"/>
              <w:jc w:val="left"/>
            </w:pPr>
            <w:r>
              <w:rPr>
                <w:sz w:val="18"/>
              </w:rPr>
              <w:t xml:space="preserve">Pendant le sinistre</w:t>
            </w:r>
          </w:p>
        </w:tc>
        <w:tc>
          <w:tcPr>
            <w:tcW w:w="6886" w:type="dxa"/>
          </w:tcPr>
          <w:p>
            <w:pPr>
              <w:pStyle w:val="Compact"/>
              <w:spacing w:after="20" w:before="20"/>
              <w:jc w:val="left"/>
            </w:pPr>
            <w:r>
              <w:rPr>
                <w:sz w:val="18"/>
              </w:rPr>
              <w:t xml:space="preserve">Activation de la cellule de crise · Recensement des sauvegardes disponibles dans le coffre isolé · Mise à disposition d'une capacité d'hébergement de repli (contrat de secours, cloud, site tiers)</w:t>
            </w:r>
            <w:r>
              <w:rPr>
                <w:sz w:val="18"/>
              </w:rPr>
              <w:t xml:space="preserve"> </w:t>
            </w:r>
            <w:r>
              <w:rPr>
                <w:bCs/>
                <w:b/>
                <w:sz w:val="18"/>
              </w:rPr>
              <w:t xml:space="preserve">[À COMPLÉTER]</w:t>
            </w:r>
            <w:r>
              <w:rPr>
                <w:sz w:val="18"/>
              </w:rPr>
              <w:t xml:space="preserve"> </w:t>
            </w:r>
            <w:r>
              <w:rPr>
                <w:sz w:val="18"/>
              </w:rPr>
              <w:t xml:space="preserve">· Reconstruction des socles dans l'ordre de priorité du §9.4.4</w:t>
            </w:r>
          </w:p>
        </w:tc>
      </w:tr>
      <w:tr>
        <w:trPr>
          <w:cantSplit w:val="true"/>
        </w:trPr>
        <w:tc>
          <w:tcPr>
            <w:tcW w:w="2525" w:type="dxa"/>
            <w:shd w:val="clear" w:color="auto" w:fill="EEF2F6"/>
          </w:tcPr>
          <w:p>
            <w:pPr>
              <w:pStyle w:val="Compact"/>
              <w:spacing w:after="20" w:before="20"/>
              <w:jc w:val="left"/>
            </w:pPr>
            <w:r>
              <w:rPr>
                <w:sz w:val="18"/>
              </w:rPr>
              <w:t xml:space="preserve">Retour au mode nominal</w:t>
            </w:r>
          </w:p>
        </w:tc>
        <w:tc>
          <w:tcPr>
            <w:tcW w:w="6886" w:type="dxa"/>
            <w:shd w:val="clear" w:color="auto" w:fill="EEF2F6"/>
          </w:tcPr>
          <w:p>
            <w:pPr>
              <w:pStyle w:val="Compact"/>
              <w:spacing w:after="20" w:before="20"/>
              <w:jc w:val="left"/>
            </w:pPr>
            <w:r>
              <w:rPr>
                <w:sz w:val="18"/>
              </w:rPr>
              <w:t xml:space="preserve">Restauration des données à partir des copies isolées · Contrôle d'intégrité et validation métier · Reconstitution des données manquantes par rejeu des flux (§5.20) · Reconstitution des sauvegardes perdues</w:t>
            </w:r>
          </w:p>
        </w:tc>
      </w:tr>
      <w:tr>
        <w:trPr>
          <w:cantSplit w:val="true"/>
        </w:trPr>
        <w:tc>
          <w:tcPr>
            <w:tcW w:w="2525" w:type="dxa"/>
          </w:tcPr>
          <w:p>
            <w:pPr>
              <w:pStyle w:val="Compact"/>
              <w:spacing w:after="20" w:before="20"/>
              <w:jc w:val="left"/>
            </w:pPr>
            <w:r>
              <w:rPr>
                <w:sz w:val="18"/>
              </w:rPr>
              <w:t xml:space="preserve">Éprouver le dispositif</w:t>
            </w:r>
          </w:p>
        </w:tc>
        <w:tc>
          <w:tcPr>
            <w:tcW w:w="6886" w:type="dxa"/>
          </w:tcPr>
          <w:p>
            <w:pPr>
              <w:pStyle w:val="Compact"/>
              <w:spacing w:after="20" w:before="20"/>
              <w:jc w:val="left"/>
            </w:pPr>
            <w:r>
              <w:rPr>
                <w:sz w:val="18"/>
              </w:rPr>
              <w:t xml:space="preserve">Test annuel de restauration d'un périmètre représentatif</w:t>
            </w:r>
            <w:r>
              <w:rPr>
                <w:sz w:val="18"/>
              </w:rPr>
              <w:t xml:space="preserve"> </w:t>
            </w:r>
            <w:r>
              <w:rPr>
                <w:bCs/>
                <w:b/>
                <w:sz w:val="18"/>
              </w:rPr>
              <w:t xml:space="preserve">depuis le coffre uniquement</w:t>
            </w:r>
            <w:r>
              <w:rPr>
                <w:sz w:val="18"/>
              </w:rPr>
              <w:t xml:space="preserve">, sur une infrastructure vierge · Vérification de la lisibilité des supports et de la disponibilité des clés de chiffrement</w:t>
            </w:r>
          </w:p>
        </w:tc>
      </w:tr>
    </w:tbl>
    <w:bookmarkEnd w:id="83"/>
    <w:bookmarkStart w:id="84" w:name="indisponibilité-physique-partielle-ipp"/>
    <w:p>
      <w:pPr>
        <w:pStyle w:val="Heading2"/>
      </w:pPr>
      <w:r>
        <w:t xml:space="preserve">8.3 Indisponibilité Physique Partielle (IPP)</w:t>
      </w:r>
    </w:p>
    <w:p>
      <w:pPr>
        <w:pStyle w:val="FirstParagraph"/>
      </w:pPr>
      <w:r>
        <w:rPr>
          <w:bCs/>
          <w:b/>
        </w:rPr>
        <w:t xml:space="preserve">Définition</w:t>
      </w:r>
      <w:r>
        <w:t xml:space="preserve"> </w:t>
      </w:r>
      <w:r>
        <w:t xml:space="preserve">— « Sinistre physique local » correspondant :</w:t>
      </w:r>
    </w:p>
    <w:p>
      <w:pPr>
        <w:numPr>
          <w:ilvl w:val="0"/>
          <w:numId w:val="1040"/>
        </w:numPr>
        <w:pStyle w:val="Compact"/>
      </w:pPr>
      <w:r>
        <w:t xml:space="preserve">soit à l'indisponibilité totale d'un des sites (toutes salles confondues) ;</w:t>
      </w:r>
    </w:p>
    <w:p>
      <w:pPr>
        <w:numPr>
          <w:ilvl w:val="0"/>
          <w:numId w:val="1040"/>
        </w:numPr>
        <w:pStyle w:val="Compact"/>
      </w:pPr>
      <w:r>
        <w:t xml:space="preserve">soit à l'indisponibilité globale d'une ressource vitale (serveurs ou stockage) d'un des sites.</w:t>
      </w:r>
    </w:p>
    <w:p>
      <w:pPr>
        <w:pStyle w:val="FirstParagraph"/>
      </w:pPr>
      <w:r>
        <w:rPr>
          <w:bCs/>
          <w:b/>
        </w:rPr>
        <w:t xml:space="preserve">Stratégie de sauvegarde associée [À VALIDER]</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525"/>
        <w:gridCol w:w="6886"/>
      </w:tblGrid>
      <w:tr>
        <w:trPr>
          <w:tblHeader w:val="true"/>
          <w:tblHeader w:val="true"/>
          <w:cantSplit w:val="true"/>
        </w:trPr>
        <w:tc>
          <w:tcPr>
            <w:tcW w:w="2525" w:type="dxa"/>
            <w:shd w:val="clear" w:color="auto" w:fill="1F3A5F"/>
          </w:tcPr>
          <w:p>
            <w:pPr>
              <w:pStyle w:val="Compact"/>
              <w:spacing w:after="20" w:before="20"/>
              <w:jc w:val="left"/>
            </w:pPr>
            <w:r>
              <w:rPr>
                <w:b/>
                <w:color w:val="FFFFFF"/>
                <w:sz w:val="18"/>
              </w:rPr>
              <w:t xml:space="preserve">Phase</w:t>
            </w:r>
          </w:p>
        </w:tc>
        <w:tc>
          <w:tcPr>
            <w:tcW w:w="6886" w:type="dxa"/>
            <w:shd w:val="clear" w:color="auto" w:fill="1F3A5F"/>
          </w:tcPr>
          <w:p>
            <w:pPr>
              <w:pStyle w:val="Compact"/>
              <w:spacing w:after="20" w:before="20"/>
              <w:jc w:val="left"/>
            </w:pPr>
            <w:r>
              <w:rPr>
                <w:b/>
                <w:color w:val="FFFFFF"/>
                <w:sz w:val="18"/>
              </w:rPr>
              <w:t xml:space="preserve">Dispositions</w:t>
            </w:r>
          </w:p>
        </w:tc>
      </w:tr>
      <w:tr>
        <w:trPr>
          <w:cantSplit w:val="true"/>
        </w:trPr>
        <w:tc>
          <w:tcPr>
            <w:tcW w:w="2525" w:type="dxa"/>
          </w:tcPr>
          <w:p>
            <w:pPr>
              <w:pStyle w:val="Compact"/>
              <w:spacing w:after="20" w:before="20"/>
              <w:jc w:val="left"/>
            </w:pPr>
            <w:r>
              <w:rPr>
                <w:sz w:val="18"/>
              </w:rPr>
              <w:t xml:space="preserve">Pendant le sinistre</w:t>
            </w:r>
          </w:p>
        </w:tc>
        <w:tc>
          <w:tcPr>
            <w:tcW w:w="6886" w:type="dxa"/>
          </w:tcPr>
          <w:p>
            <w:pPr>
              <w:pStyle w:val="Compact"/>
              <w:spacing w:after="20" w:before="20"/>
              <w:jc w:val="left"/>
            </w:pPr>
            <w:r>
              <w:rPr>
                <w:sz w:val="18"/>
              </w:rPr>
              <w:t xml:space="preserve">Basculement des applications sur les dispositifs de haute disponibilité (réplication synchrone ou asynchrone) · Pour les applications non couvertes : restauration sur le site survivant à partir des sauvegardes asynchrones qui y sont répliquées · Poursuite des sauvegardes depuis le site survivant, avec une copie hors site maintenue</w:t>
            </w:r>
          </w:p>
        </w:tc>
      </w:tr>
      <w:tr>
        <w:trPr>
          <w:cantSplit w:val="true"/>
        </w:trPr>
        <w:tc>
          <w:tcPr>
            <w:tcW w:w="2525" w:type="dxa"/>
            <w:shd w:val="clear" w:color="auto" w:fill="EEF2F6"/>
          </w:tcPr>
          <w:p>
            <w:pPr>
              <w:pStyle w:val="Compact"/>
              <w:spacing w:after="20" w:before="20"/>
              <w:jc w:val="left"/>
            </w:pPr>
            <w:r>
              <w:rPr>
                <w:sz w:val="18"/>
              </w:rPr>
              <w:t xml:space="preserve">Retour au mode nominal</w:t>
            </w:r>
          </w:p>
        </w:tc>
        <w:tc>
          <w:tcPr>
            <w:tcW w:w="6886" w:type="dxa"/>
            <w:shd w:val="clear" w:color="auto" w:fill="EEF2F6"/>
          </w:tcPr>
          <w:p>
            <w:pPr>
              <w:pStyle w:val="Compact"/>
              <w:spacing w:after="20" w:before="20"/>
              <w:jc w:val="left"/>
            </w:pPr>
            <w:r>
              <w:rPr>
                <w:sz w:val="18"/>
              </w:rPr>
              <w:t xml:space="preserve">Reconstruction du site sinistré · Resynchronisation des données · Bascule retour planifiée · Reconstitution des sauvegardes perdues avec le site (§8.6.2)</w:t>
            </w:r>
          </w:p>
        </w:tc>
      </w:tr>
      <w:tr>
        <w:trPr>
          <w:cantSplit w:val="true"/>
        </w:trPr>
        <w:tc>
          <w:tcPr>
            <w:tcW w:w="2525" w:type="dxa"/>
          </w:tcPr>
          <w:p>
            <w:pPr>
              <w:pStyle w:val="Compact"/>
              <w:spacing w:after="20" w:before="20"/>
              <w:jc w:val="left"/>
            </w:pPr>
            <w:r>
              <w:rPr>
                <w:sz w:val="18"/>
              </w:rPr>
              <w:t xml:space="preserve">Éprouver le dispositif</w:t>
            </w:r>
          </w:p>
        </w:tc>
        <w:tc>
          <w:tcPr>
            <w:tcW w:w="6886" w:type="dxa"/>
          </w:tcPr>
          <w:p>
            <w:pPr>
              <w:pStyle w:val="Compact"/>
              <w:spacing w:after="20" w:before="20"/>
              <w:jc w:val="left"/>
            </w:pPr>
            <w:r>
              <w:rPr>
                <w:sz w:val="18"/>
              </w:rPr>
              <w:t xml:space="preserve">Exercice annuel de bascule, en alternant le site sinistré (voir §9.2.2)</w:t>
            </w:r>
          </w:p>
        </w:tc>
      </w:tr>
    </w:tbl>
    <w:bookmarkEnd w:id="84"/>
    <w:bookmarkStart w:id="85" w:name="indisponibilité-logique-globale-ilg"/>
    <w:p>
      <w:pPr>
        <w:pStyle w:val="Heading2"/>
      </w:pPr>
      <w:r>
        <w:t xml:space="preserve">8.4 Indisponibilité Logique Globale (ILG)</w:t>
      </w:r>
    </w:p>
    <w:p>
      <w:pPr>
        <w:pStyle w:val="FirstParagraph"/>
      </w:pPr>
      <w:r>
        <w:rPr>
          <w:bCs/>
          <w:b/>
        </w:rPr>
        <w:t xml:space="preserve">Définition</w:t>
      </w:r>
      <w:r>
        <w:t xml:space="preserve"> </w:t>
      </w:r>
      <w:r>
        <w:t xml:space="preserve">— Altération globale des données primaires stockées sur tous les sites : propagation d'une corruption, destruction ou</w:t>
      </w:r>
      <w:r>
        <w:t xml:space="preserve"> </w:t>
      </w:r>
      <w:r>
        <w:rPr>
          <w:bCs/>
          <w:b/>
        </w:rPr>
        <w:t xml:space="preserve">chiffrement malveillant (rançongiciel)</w:t>
      </w:r>
      <w:r>
        <w:t xml:space="preserve">, erreur d'administration à grande échelle.</w:t>
      </w:r>
    </w:p>
    <w:p>
      <w:pPr>
        <w:pStyle w:val="BodyText"/>
      </w:pPr>
      <w:r>
        <w:t xml:space="preserve">⚠ C'est le scénario le plus probable parmi les scénarios globaux dans le contexte de menace actuel. La haute disponibilité n'offre</w:t>
      </w:r>
      <w:r>
        <w:t xml:space="preserve"> </w:t>
      </w:r>
      <w:r>
        <w:rPr>
          <w:bCs/>
          <w:b/>
        </w:rPr>
        <w:t xml:space="preserve">aucune protection</w:t>
      </w:r>
      <w:r>
        <w:t xml:space="preserve"> </w:t>
      </w:r>
      <w:r>
        <w:t xml:space="preserve">: elle réplique l'altération.</w:t>
      </w:r>
    </w:p>
    <w:p>
      <w:pPr>
        <w:pStyle w:val="BodyText"/>
      </w:pPr>
      <w:r>
        <w:rPr>
          <w:bCs/>
          <w:b/>
        </w:rPr>
        <w:t xml:space="preserve">Stratégie de sauvegarde associée [À VALIDER]</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525"/>
        <w:gridCol w:w="6886"/>
      </w:tblGrid>
      <w:tr>
        <w:trPr>
          <w:tblHeader w:val="true"/>
          <w:tblHeader w:val="true"/>
          <w:cantSplit w:val="true"/>
        </w:trPr>
        <w:tc>
          <w:tcPr>
            <w:tcW w:w="2525" w:type="dxa"/>
            <w:shd w:val="clear" w:color="auto" w:fill="1F3A5F"/>
          </w:tcPr>
          <w:p>
            <w:pPr>
              <w:pStyle w:val="Compact"/>
              <w:spacing w:after="20" w:before="20"/>
              <w:jc w:val="left"/>
            </w:pPr>
            <w:r>
              <w:rPr>
                <w:b/>
                <w:color w:val="FFFFFF"/>
                <w:sz w:val="18"/>
              </w:rPr>
              <w:t xml:space="preserve">Phase</w:t>
            </w:r>
          </w:p>
        </w:tc>
        <w:tc>
          <w:tcPr>
            <w:tcW w:w="6886" w:type="dxa"/>
            <w:shd w:val="clear" w:color="auto" w:fill="1F3A5F"/>
          </w:tcPr>
          <w:p>
            <w:pPr>
              <w:pStyle w:val="Compact"/>
              <w:spacing w:after="20" w:before="20"/>
              <w:jc w:val="left"/>
            </w:pPr>
            <w:r>
              <w:rPr>
                <w:b/>
                <w:color w:val="FFFFFF"/>
                <w:sz w:val="18"/>
              </w:rPr>
              <w:t xml:space="preserve">Dispositions</w:t>
            </w:r>
          </w:p>
        </w:tc>
      </w:tr>
      <w:tr>
        <w:trPr>
          <w:cantSplit w:val="true"/>
        </w:trPr>
        <w:tc>
          <w:tcPr>
            <w:tcW w:w="2525" w:type="dxa"/>
          </w:tcPr>
          <w:p>
            <w:pPr>
              <w:pStyle w:val="Compact"/>
              <w:spacing w:after="20" w:before="20"/>
              <w:jc w:val="left"/>
            </w:pPr>
            <w:r>
              <w:rPr>
                <w:sz w:val="18"/>
              </w:rPr>
              <w:t xml:space="preserve">Pendant le sinistre</w:t>
            </w:r>
          </w:p>
        </w:tc>
        <w:tc>
          <w:tcPr>
            <w:tcW w:w="6886" w:type="dxa"/>
          </w:tcPr>
          <w:p>
            <w:pPr>
              <w:pStyle w:val="Compact"/>
              <w:spacing w:after="20" w:before="20"/>
              <w:jc w:val="left"/>
            </w:pPr>
            <w:r>
              <w:rPr>
                <w:bCs/>
                <w:b/>
                <w:sz w:val="18"/>
              </w:rPr>
              <w:t xml:space="preserve">Activation de la cellule de crise</w:t>
            </w:r>
            <w:r>
              <w:rPr>
                <w:sz w:val="18"/>
              </w:rPr>
              <w:t xml:space="preserve"> </w:t>
            </w:r>
            <w:r>
              <w:rPr>
                <w:sz w:val="18"/>
              </w:rPr>
              <w:t xml:space="preserve">: la décision de restaurer lui revient, sur avis de l'équipe de réponse à incident ; la restauration n'est pas engagée par l'équipe de sauvegarde seule · Information de l'assureur selon les conditions du contrat de cyberassurance, le cas échéant · Notifications réglementaires déclenchées par le plan de gestion de crise (hors périmètre du présent document) · Suspension de l'ensemble des services PROD et Hors PROD jusqu'au diagnostic ·</w:t>
            </w:r>
            <w:r>
              <w:rPr>
                <w:sz w:val="18"/>
              </w:rPr>
              <w:t xml:space="preserve"> </w:t>
            </w:r>
            <w:r>
              <w:rPr>
                <w:bCs/>
                <w:b/>
                <w:sz w:val="18"/>
              </w:rPr>
              <w:t xml:space="preserve">Préservation des preuves</w:t>
            </w:r>
            <w:r>
              <w:rPr>
                <w:sz w:val="18"/>
              </w:rPr>
              <w:t xml:space="preserve"> </w:t>
            </w:r>
            <w:r>
              <w:rPr>
                <w:sz w:val="18"/>
              </w:rPr>
              <w:t xml:space="preserve">(images et journaux) avant toute restauration · Sauvegarde « à la demande » généralisée de la PROD, conservée à part (analyse forensique, récupération de données récentes non compromises) · Vérification de l'intégrité de l'infrastructure de sauvegarde et de son plan d'administration · Identification du</w:t>
            </w:r>
            <w:r>
              <w:rPr>
                <w:sz w:val="18"/>
              </w:rPr>
              <w:t xml:space="preserve"> </w:t>
            </w:r>
            <w:r>
              <w:rPr>
                <w:bCs/>
                <w:b/>
                <w:sz w:val="18"/>
              </w:rPr>
              <w:t xml:space="preserve">dernier point de restauration sain</w:t>
            </w:r>
            <w:r>
              <w:rPr>
                <w:sz w:val="18"/>
              </w:rPr>
              <w:t xml:space="preserve"> </w:t>
            </w:r>
            <w:r>
              <w:rPr>
                <w:sz w:val="18"/>
              </w:rPr>
              <w:t xml:space="preserve">en environnement isolé (§5.18)</w:t>
            </w:r>
          </w:p>
        </w:tc>
      </w:tr>
      <w:tr>
        <w:trPr>
          <w:cantSplit w:val="true"/>
        </w:trPr>
        <w:tc>
          <w:tcPr>
            <w:tcW w:w="2525" w:type="dxa"/>
            <w:shd w:val="clear" w:color="auto" w:fill="EEF2F6"/>
          </w:tcPr>
          <w:p>
            <w:pPr>
              <w:pStyle w:val="Compact"/>
              <w:spacing w:after="20" w:before="20"/>
              <w:jc w:val="left"/>
            </w:pPr>
            <w:r>
              <w:rPr>
                <w:sz w:val="18"/>
              </w:rPr>
              <w:t xml:space="preserve">Retour au mode nominal</w:t>
            </w:r>
          </w:p>
        </w:tc>
        <w:tc>
          <w:tcPr>
            <w:tcW w:w="6886" w:type="dxa"/>
            <w:shd w:val="clear" w:color="auto" w:fill="EEF2F6"/>
          </w:tcPr>
          <w:p>
            <w:pPr>
              <w:pStyle w:val="Compact"/>
              <w:spacing w:after="20" w:before="20"/>
              <w:jc w:val="left"/>
            </w:pPr>
            <w:r>
              <w:rPr>
                <w:sz w:val="18"/>
              </w:rPr>
              <w:t xml:space="preserve">Reconstruction des socles puis restauration selon l'ordre de priorité du §9.4.3 · Application d'un</w:t>
            </w:r>
            <w:r>
              <w:rPr>
                <w:sz w:val="18"/>
              </w:rPr>
              <w:t xml:space="preserve"> </w:t>
            </w:r>
            <w:r>
              <w:rPr>
                <w:bCs/>
                <w:b/>
                <w:sz w:val="18"/>
              </w:rPr>
              <w:t xml:space="preserve">même point de restauration</w:t>
            </w:r>
            <w:r>
              <w:rPr>
                <w:sz w:val="18"/>
              </w:rPr>
              <w:t xml:space="preserve"> </w:t>
            </w:r>
            <w:r>
              <w:rPr>
                <w:sz w:val="18"/>
              </w:rPr>
              <w:t xml:space="preserve">à l'ensemble des données, pour une PDMA homogène et la préservation de l'intégrité référentielle · Renouvellement des secrets et des comptes à privilèges avant réouverture · Reconstitution des données par rejeu des flux · Si les sauvegardes principales sont compromises : restauration depuis le coffre isolé (DMIA dégradée — §9.1)</w:t>
            </w:r>
          </w:p>
        </w:tc>
      </w:tr>
      <w:tr>
        <w:trPr>
          <w:cantSplit w:val="true"/>
        </w:trPr>
        <w:tc>
          <w:tcPr>
            <w:tcW w:w="2525" w:type="dxa"/>
          </w:tcPr>
          <w:p>
            <w:pPr>
              <w:pStyle w:val="Compact"/>
              <w:spacing w:after="20" w:before="20"/>
              <w:jc w:val="left"/>
            </w:pPr>
            <w:r>
              <w:rPr>
                <w:sz w:val="18"/>
              </w:rPr>
              <w:t xml:space="preserve">Éprouver le dispositif</w:t>
            </w:r>
          </w:p>
        </w:tc>
        <w:tc>
          <w:tcPr>
            <w:tcW w:w="6886" w:type="dxa"/>
          </w:tcPr>
          <w:p>
            <w:pPr>
              <w:pStyle w:val="Compact"/>
              <w:spacing w:after="20" w:before="20"/>
              <w:jc w:val="left"/>
            </w:pPr>
            <w:r>
              <w:rPr>
                <w:sz w:val="18"/>
              </w:rPr>
              <w:t xml:space="preserve">Exercice annuel de type « cyber-reconstruction » : reconstruction de l'annuaire et d'une application critique à partir des seules copies isolées · Test de détection d'une sauvegarde compromise</w:t>
            </w:r>
          </w:p>
        </w:tc>
      </w:tr>
    </w:tbl>
    <w:bookmarkEnd w:id="85"/>
    <w:bookmarkStart w:id="86" w:name="indisponibilité-logique-partielle-ilp"/>
    <w:p>
      <w:pPr>
        <w:pStyle w:val="Heading2"/>
      </w:pPr>
      <w:r>
        <w:t xml:space="preserve">8.5 Indisponibilité Logique Partielle (ILP)</w:t>
      </w:r>
    </w:p>
    <w:p>
      <w:pPr>
        <w:pStyle w:val="FirstParagraph"/>
      </w:pPr>
      <w:r>
        <w:rPr>
          <w:bCs/>
          <w:b/>
        </w:rPr>
        <w:t xml:space="preserve">Définition</w:t>
      </w:r>
      <w:r>
        <w:t xml:space="preserve"> </w:t>
      </w:r>
      <w:r>
        <w:t xml:space="preserve">— Ensemble des incidents affectant les données, du mode dégradé jusqu'aux incidents graves interrompant des services métier :</w:t>
      </w:r>
    </w:p>
    <w:p>
      <w:pPr>
        <w:numPr>
          <w:ilvl w:val="0"/>
          <w:numId w:val="1041"/>
        </w:numPr>
        <w:pStyle w:val="Compact"/>
      </w:pPr>
      <w:r>
        <w:t xml:space="preserve">soit l'indisponibilité simultanée et partielle des données primaires de tous les sites (volumes, fichiers, serveurs, bases de données) ;</w:t>
      </w:r>
    </w:p>
    <w:p>
      <w:pPr>
        <w:numPr>
          <w:ilvl w:val="0"/>
          <w:numId w:val="1041"/>
        </w:numPr>
        <w:pStyle w:val="Compact"/>
      </w:pPr>
      <w:r>
        <w:t xml:space="preserve">soit l'indisponibilité partielle des données primaires d'un site, combinée à l'indisponibilité totale des données primaires des autres sites.</w:t>
      </w:r>
    </w:p>
    <w:p>
      <w:pPr>
        <w:pStyle w:val="FirstParagraph"/>
      </w:pPr>
      <w:r>
        <w:rPr>
          <w:bCs/>
          <w:b/>
        </w:rPr>
        <w:t xml:space="preserve">Stratégie de sauvegarde associée [À VALIDER]</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525"/>
        <w:gridCol w:w="6886"/>
      </w:tblGrid>
      <w:tr>
        <w:trPr>
          <w:tblHeader w:val="true"/>
          <w:tblHeader w:val="true"/>
          <w:cantSplit w:val="true"/>
        </w:trPr>
        <w:tc>
          <w:tcPr>
            <w:tcW w:w="2525" w:type="dxa"/>
            <w:shd w:val="clear" w:color="auto" w:fill="1F3A5F"/>
          </w:tcPr>
          <w:p>
            <w:pPr>
              <w:pStyle w:val="Compact"/>
              <w:spacing w:after="20" w:before="20"/>
              <w:jc w:val="left"/>
            </w:pPr>
            <w:r>
              <w:rPr>
                <w:b/>
                <w:color w:val="FFFFFF"/>
                <w:sz w:val="18"/>
              </w:rPr>
              <w:t xml:space="preserve">Phase</w:t>
            </w:r>
          </w:p>
        </w:tc>
        <w:tc>
          <w:tcPr>
            <w:tcW w:w="6886" w:type="dxa"/>
            <w:shd w:val="clear" w:color="auto" w:fill="1F3A5F"/>
          </w:tcPr>
          <w:p>
            <w:pPr>
              <w:pStyle w:val="Compact"/>
              <w:spacing w:after="20" w:before="20"/>
              <w:jc w:val="left"/>
            </w:pPr>
            <w:r>
              <w:rPr>
                <w:b/>
                <w:color w:val="FFFFFF"/>
                <w:sz w:val="18"/>
              </w:rPr>
              <w:t xml:space="preserve">Dispositions</w:t>
            </w:r>
          </w:p>
        </w:tc>
      </w:tr>
      <w:tr>
        <w:trPr>
          <w:cantSplit w:val="true"/>
        </w:trPr>
        <w:tc>
          <w:tcPr>
            <w:tcW w:w="2525" w:type="dxa"/>
          </w:tcPr>
          <w:p>
            <w:pPr>
              <w:pStyle w:val="Compact"/>
              <w:spacing w:after="20" w:before="20"/>
              <w:jc w:val="left"/>
            </w:pPr>
            <w:r>
              <w:rPr>
                <w:sz w:val="18"/>
              </w:rPr>
              <w:t xml:space="preserve">Pendant le sinistre</w:t>
            </w:r>
          </w:p>
        </w:tc>
        <w:tc>
          <w:tcPr>
            <w:tcW w:w="6886" w:type="dxa"/>
          </w:tcPr>
          <w:p>
            <w:pPr>
              <w:pStyle w:val="Compact"/>
              <w:spacing w:after="20" w:before="20"/>
              <w:jc w:val="left"/>
            </w:pPr>
            <w:r>
              <w:rPr>
                <w:sz w:val="18"/>
              </w:rPr>
              <w:t xml:space="preserve">Qualification du périmètre et de la date de l'altération · Restauration dans l'espace de validation (§5.18) pour comparaison · Choix du point de restauration avec le métier</w:t>
            </w:r>
          </w:p>
        </w:tc>
      </w:tr>
      <w:tr>
        <w:trPr>
          <w:cantSplit w:val="true"/>
        </w:trPr>
        <w:tc>
          <w:tcPr>
            <w:tcW w:w="2525" w:type="dxa"/>
            <w:shd w:val="clear" w:color="auto" w:fill="EEF2F6"/>
          </w:tcPr>
          <w:p>
            <w:pPr>
              <w:pStyle w:val="Compact"/>
              <w:spacing w:after="20" w:before="20"/>
              <w:jc w:val="left"/>
            </w:pPr>
            <w:r>
              <w:rPr>
                <w:sz w:val="18"/>
              </w:rPr>
              <w:t xml:space="preserve">Retour au mode nominal</w:t>
            </w:r>
          </w:p>
        </w:tc>
        <w:tc>
          <w:tcPr>
            <w:tcW w:w="6886" w:type="dxa"/>
            <w:shd w:val="clear" w:color="auto" w:fill="EEF2F6"/>
          </w:tcPr>
          <w:p>
            <w:pPr>
              <w:pStyle w:val="Compact"/>
              <w:spacing w:after="20" w:before="20"/>
              <w:jc w:val="left"/>
            </w:pPr>
            <w:r>
              <w:rPr>
                <w:sz w:val="18"/>
              </w:rPr>
              <w:t xml:space="preserve">Restauration ciblée (serveur, base, fichiers) · Correction de cohérence ou reconstitution si nécessaire · Sauvegarde post-incident par procédure spécifique (§5.13)</w:t>
            </w:r>
          </w:p>
        </w:tc>
      </w:tr>
      <w:tr>
        <w:trPr>
          <w:cantSplit w:val="true"/>
        </w:trPr>
        <w:tc>
          <w:tcPr>
            <w:tcW w:w="2525" w:type="dxa"/>
          </w:tcPr>
          <w:p>
            <w:pPr>
              <w:pStyle w:val="Compact"/>
              <w:spacing w:after="20" w:before="20"/>
              <w:jc w:val="left"/>
            </w:pPr>
            <w:r>
              <w:rPr>
                <w:sz w:val="18"/>
              </w:rPr>
              <w:t xml:space="preserve">Éprouver le dispositif</w:t>
            </w:r>
          </w:p>
        </w:tc>
        <w:tc>
          <w:tcPr>
            <w:tcW w:w="6886" w:type="dxa"/>
          </w:tcPr>
          <w:p>
            <w:pPr>
              <w:pStyle w:val="Compact"/>
              <w:spacing w:after="20" w:before="20"/>
              <w:jc w:val="left"/>
            </w:pPr>
            <w:r>
              <w:rPr>
                <w:sz w:val="18"/>
              </w:rPr>
              <w:t xml:space="preserve">Procédures « témoin » quotidiennes (§9.2.1) · Restaurations réelles à la demande des métiers, comptabilisées dans les indicateurs</w:t>
            </w:r>
          </w:p>
        </w:tc>
      </w:tr>
    </w:tbl>
    <w:p>
      <w:pPr>
        <w:pStyle w:val="BodyText"/>
      </w:pPr>
      <w:r>
        <w:rPr>
          <w:bCs/>
          <w:b/>
        </w:rPr>
        <w:t xml:space="preserve">Cinématique type ILP</w:t>
      </w:r>
      <w:r>
        <w:t xml:space="preserve"> </w:t>
      </w:r>
      <w:r>
        <w:t xml:space="preserve">— voir Annexe A.</w:t>
      </w:r>
    </w:p>
    <w:bookmarkEnd w:id="86"/>
    <w:bookmarkStart w:id="90" w:name="fonctionnement-nominal-dégradé"/>
    <w:p>
      <w:pPr>
        <w:pStyle w:val="Heading2"/>
      </w:pPr>
      <w:r>
        <w:t xml:space="preserve">8.6 Fonctionnement nominal dégradé</w:t>
      </w:r>
    </w:p>
    <w:p>
      <w:pPr>
        <w:pStyle w:val="FirstParagraph"/>
      </w:pPr>
      <w:r>
        <w:t xml:space="preserve">Ce scénario regroupe tous les autres incidents d'indisponibilité de ressources ou de données. Les applications métier ne sont pas impactées.</w:t>
      </w:r>
    </w:p>
    <w:bookmarkStart w:id="87" w:name="incident-sur-les-données-vivantes"/>
    <w:p>
      <w:pPr>
        <w:pStyle w:val="Heading3"/>
      </w:pPr>
      <w:r>
        <w:t xml:space="preserve">8.6.1 Incident sur les données vivantes</w:t>
      </w:r>
    </w:p>
    <w:p>
      <w:pPr>
        <w:pStyle w:val="FirstParagraph"/>
      </w:pPr>
      <w:r>
        <w:t xml:space="preserve">Incidents touchant les supports primaires d'un site, pour lesquels la haute disponibilité assure la continuité des applications. Ce cas relève de l'IPP (§8.3) sans interruption de service.</w:t>
      </w:r>
    </w:p>
    <w:bookmarkEnd w:id="87"/>
    <w:bookmarkStart w:id="88" w:name="incident-sur-les-données-mortes"/>
    <w:p>
      <w:pPr>
        <w:pStyle w:val="Heading3"/>
      </w:pPr>
      <w:r>
        <w:t xml:space="preserve">8.6.2 Incident sur les données mortes</w:t>
      </w:r>
    </w:p>
    <w:p>
      <w:pPr>
        <w:pStyle w:val="FirstParagraph"/>
      </w:pPr>
      <w:r>
        <w:t xml:space="preserve">Incidents ayant altéré ou détruit tout ou partie des sauvegardes. Ils n'interrompent pas les applications mais</w:t>
      </w:r>
      <w:r>
        <w:t xml:space="preserve"> </w:t>
      </w:r>
      <w:r>
        <w:rPr>
          <w:bCs/>
          <w:b/>
        </w:rPr>
        <w:t xml:space="preserve">dégradent le niveau de sécurité</w:t>
      </w:r>
      <w:r>
        <w:t xml:space="preserve"> </w:t>
      </w:r>
      <w:r>
        <w:t xml:space="preserve">des données actives associées. La stratégie consiste à reconstituer les sauvegardes concernées.</w:t>
      </w:r>
    </w:p>
    <w:p>
      <w:pPr>
        <w:pStyle w:val="BodyText"/>
      </w:pPr>
      <w:r>
        <w:rPr>
          <w:bCs/>
          <w:b/>
        </w:rPr>
        <w:t xml:space="preserve">Destruction localisée sur un seul site</w:t>
      </w:r>
      <w:r>
        <w:t xml:space="preserve"> </w:t>
      </w:r>
      <w:r>
        <w:t xml:space="preserve">— la reconstitution dépend de la récurrence de l'incident, de la criticité des données et de la fréquence de la sauvegarde :</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4581"/>
        <w:gridCol w:w="4830"/>
      </w:tblGrid>
      <w:tr>
        <w:trPr>
          <w:tblHeader w:val="true"/>
          <w:tblHeader w:val="true"/>
          <w:cantSplit w:val="true"/>
        </w:trPr>
        <w:tc>
          <w:tcPr>
            <w:tcW w:w="4581" w:type="dxa"/>
            <w:shd w:val="clear" w:color="auto" w:fill="1F3A5F"/>
          </w:tcPr>
          <w:p>
            <w:pPr>
              <w:pStyle w:val="Compact"/>
              <w:spacing w:after="20" w:before="20"/>
              <w:jc w:val="left"/>
            </w:pPr>
            <w:r>
              <w:rPr>
                <w:b/>
                <w:color w:val="FFFFFF"/>
                <w:sz w:val="18"/>
              </w:rPr>
              <w:t xml:space="preserve">Données</w:t>
            </w:r>
          </w:p>
        </w:tc>
        <w:tc>
          <w:tcPr>
            <w:tcW w:w="4830" w:type="dxa"/>
            <w:shd w:val="clear" w:color="auto" w:fill="1F3A5F"/>
          </w:tcPr>
          <w:p>
            <w:pPr>
              <w:pStyle w:val="Compact"/>
              <w:spacing w:after="20" w:before="20"/>
              <w:jc w:val="left"/>
            </w:pPr>
            <w:r>
              <w:rPr>
                <w:b/>
                <w:color w:val="FFFFFF"/>
                <w:sz w:val="18"/>
              </w:rPr>
              <w:t xml:space="preserve">Règle</w:t>
            </w:r>
          </w:p>
        </w:tc>
      </w:tr>
      <w:tr>
        <w:trPr>
          <w:cantSplit w:val="true"/>
        </w:trPr>
        <w:tc>
          <w:tcPr>
            <w:tcW w:w="4581" w:type="dxa"/>
          </w:tcPr>
          <w:p>
            <w:pPr>
              <w:pStyle w:val="Compact"/>
              <w:spacing w:after="20" w:before="20"/>
              <w:jc w:val="left"/>
            </w:pPr>
            <w:r>
              <w:rPr>
                <w:sz w:val="18"/>
              </w:rPr>
              <w:t xml:space="preserve">Critiques</w:t>
            </w:r>
          </w:p>
        </w:tc>
        <w:tc>
          <w:tcPr>
            <w:tcW w:w="4830" w:type="dxa"/>
          </w:tcPr>
          <w:p>
            <w:pPr>
              <w:pStyle w:val="Compact"/>
              <w:spacing w:after="20" w:before="20"/>
              <w:jc w:val="left"/>
            </w:pPr>
            <w:r>
              <w:rPr>
                <w:sz w:val="18"/>
              </w:rPr>
              <w:t xml:space="preserve">Sauvegardes reconstituées par recopie depuis un autre site</w:t>
            </w:r>
          </w:p>
        </w:tc>
      </w:tr>
      <w:tr>
        <w:trPr>
          <w:cantSplit w:val="true"/>
        </w:trPr>
        <w:tc>
          <w:tcPr>
            <w:tcW w:w="4581" w:type="dxa"/>
            <w:shd w:val="clear" w:color="auto" w:fill="EEF2F6"/>
          </w:tcPr>
          <w:p>
            <w:pPr>
              <w:pStyle w:val="Compact"/>
              <w:spacing w:after="20" w:before="20"/>
              <w:jc w:val="left"/>
            </w:pPr>
            <w:r>
              <w:rPr>
                <w:sz w:val="18"/>
              </w:rPr>
              <w:t xml:space="preserve">Non critiques — sauvegarde quotidienne</w:t>
            </w:r>
          </w:p>
        </w:tc>
        <w:tc>
          <w:tcPr>
            <w:tcW w:w="4830" w:type="dxa"/>
            <w:shd w:val="clear" w:color="auto" w:fill="EEF2F6"/>
          </w:tcPr>
          <w:p>
            <w:pPr>
              <w:pStyle w:val="Compact"/>
              <w:spacing w:after="20" w:before="20"/>
              <w:jc w:val="left"/>
            </w:pPr>
            <w:r>
              <w:rPr>
                <w:sz w:val="18"/>
              </w:rPr>
              <w:t xml:space="preserve">Non reconstituées (renouvellement naturel)</w:t>
            </w:r>
          </w:p>
        </w:tc>
      </w:tr>
      <w:tr>
        <w:trPr>
          <w:cantSplit w:val="true"/>
        </w:trPr>
        <w:tc>
          <w:tcPr>
            <w:tcW w:w="4581" w:type="dxa"/>
          </w:tcPr>
          <w:p>
            <w:pPr>
              <w:pStyle w:val="Compact"/>
              <w:spacing w:after="20" w:before="20"/>
              <w:jc w:val="left"/>
            </w:pPr>
            <w:r>
              <w:rPr>
                <w:sz w:val="18"/>
              </w:rPr>
              <w:t xml:space="preserve">Non critiques — sauvegarde hebdomadaire ou plus espacée</w:t>
            </w:r>
          </w:p>
        </w:tc>
        <w:tc>
          <w:tcPr>
            <w:tcW w:w="4830" w:type="dxa"/>
          </w:tcPr>
          <w:p>
            <w:pPr>
              <w:pStyle w:val="Compact"/>
              <w:spacing w:after="20" w:before="20"/>
              <w:jc w:val="left"/>
            </w:pPr>
            <w:r>
              <w:rPr>
                <w:sz w:val="18"/>
              </w:rPr>
              <w:t xml:space="preserve">Reconstituées</w:t>
            </w:r>
          </w:p>
        </w:tc>
      </w:tr>
    </w:tbl>
    <w:p>
      <w:pPr>
        <w:pStyle w:val="BodyText"/>
      </w:pPr>
      <w:r>
        <w:rPr>
          <w:bCs/>
          <w:b/>
        </w:rPr>
        <w:t xml:space="preserve">Destruction sur tous les sites</w:t>
      </w:r>
      <w:r>
        <w:t xml:space="preserve"> </w:t>
      </w:r>
      <w:r>
        <w:t xml:space="preserve">— reconstitution à partir des copies sanctuarisées dans le coffre isolé, si elles sont disponibles. À défaut, les sauvegardes sont définitivement perdues, le niveau de sécurité est dégradé et</w:t>
      </w:r>
      <w:r>
        <w:t xml:space="preserve"> </w:t>
      </w:r>
      <w:r>
        <w:rPr>
          <w:bCs/>
          <w:b/>
        </w:rPr>
        <w:t xml:space="preserve">l'incident est référencé</w:t>
      </w:r>
      <w:r>
        <w:t xml:space="preserve">.</w:t>
      </w:r>
    </w:p>
    <w:p>
      <w:pPr>
        <w:pStyle w:val="BodyText"/>
      </w:pPr>
      <w:r>
        <w:t xml:space="preserve">⚠ Une destruction simultanée des sauvegardes sur plusieurs sites doit être traitée comme un</w:t>
      </w:r>
      <w:r>
        <w:t xml:space="preserve"> </w:t>
      </w:r>
      <w:r>
        <w:rPr>
          <w:bCs/>
          <w:b/>
        </w:rPr>
        <w:t xml:space="preserve">indicateur de compromission</w:t>
      </w:r>
      <w:r>
        <w:t xml:space="preserve"> </w:t>
      </w:r>
      <w:r>
        <w:t xml:space="preserve">jusqu'à preuve du contraire (préparation typique d'une attaque par rançongiciel).</w:t>
      </w:r>
    </w:p>
    <w:bookmarkEnd w:id="88"/>
    <w:bookmarkStart w:id="89" w:name="Xb2239b7f038828b4d892b5f00dfb8bdd1aa8b88"/>
    <w:p>
      <w:pPr>
        <w:pStyle w:val="Heading3"/>
      </w:pPr>
      <w:r>
        <w:t xml:space="preserve">8.6.3 Incident sur les ressources d'infrastructure de sauvegarde</w:t>
      </w:r>
    </w:p>
    <w:p>
      <w:pPr>
        <w:pStyle w:val="FirstParagraph"/>
      </w:pPr>
      <w:r>
        <w:t xml:space="preserve">Incidents touchant le réseau, les disques de clonage ou les lecteurs de bandes, sans altération ni destruction de données. Les actions relèvent de la gestion des incidents, pas de la présente stratégie. Leur durée doit cependant être suivie : une indisponibilité prolongée réduit la couverture PDMA.</w:t>
      </w:r>
    </w:p>
    <w:bookmarkEnd w:id="89"/>
    <w:bookmarkEnd w:id="90"/>
    <w:bookmarkStart w:id="93" w:name="Xaccbe9cf00043fed874d9cb799d8fb016f05460"/>
    <w:p>
      <w:pPr>
        <w:pStyle w:val="Heading2"/>
      </w:pPr>
      <w:r>
        <w:t xml:space="preserve">8.7 Synthèse des scénarios pour les données hébergées sur site</w:t>
      </w:r>
    </w:p>
    <w:p>
      <w:pPr>
        <w:pStyle w:val="FirstParagraph"/>
      </w:pPr>
      <w:r>
        <w:rPr>
          <w:bCs/>
          <w:b/>
        </w:rPr>
        <w:t xml:space="preserve">Conventions</w:t>
      </w:r>
      <w:r>
        <w:t xml:space="preserve"> </w:t>
      </w:r>
      <w:r>
        <w:t xml:space="preserve">— Chaque ressource est notée</w:t>
      </w:r>
      <w:r>
        <w:t xml:space="preserve"> </w:t>
      </w:r>
      <w:r>
        <w:rPr>
          <w:bCs/>
          <w:b/>
        </w:rPr>
        <w:t xml:space="preserve">disponible</w:t>
      </w:r>
      <w:r>
        <w:t xml:space="preserve">,</w:t>
      </w:r>
      <w:r>
        <w:t xml:space="preserve"> </w:t>
      </w:r>
      <w:r>
        <w:rPr>
          <w:bCs/>
          <w:b/>
        </w:rPr>
        <w:t xml:space="preserve">indisponible</w:t>
      </w:r>
      <w:r>
        <w:t xml:space="preserve"> </w:t>
      </w:r>
      <w:r>
        <w:t xml:space="preserve">ou, pour les seules ressources de type « données »,</w:t>
      </w:r>
      <w:r>
        <w:t xml:space="preserve"> </w:t>
      </w:r>
      <w:r>
        <w:rPr>
          <w:bCs/>
          <w:b/>
        </w:rPr>
        <w:t xml:space="preserve">partiellement disponible</w:t>
      </w:r>
      <w:r>
        <w:t xml:space="preserve">.</w:t>
      </w:r>
    </w:p>
    <w:p>
      <w:pPr>
        <w:pStyle w:val="BodyText"/>
      </w:pPr>
      <w:r>
        <w:t xml:space="preserve">Pour chaque cas majeur, un scénario type est identifié avec sa gravité, sa probabilité et sa criticité. Un incident est supposé ne concerner qu'un type de ressource ; s'il en concerne plusieurs, le scénario le plus grave s'applique.</w:t>
      </w:r>
    </w:p>
    <w:bookmarkStart w:id="91" w:name="infrastructure-actuelle"/>
    <w:p>
      <w:pPr>
        <w:pStyle w:val="Heading3"/>
      </w:pPr>
      <w:r>
        <w:t xml:space="preserve">8.7.1 Infrastructure actuelle</w:t>
      </w:r>
    </w:p>
    <w:p>
      <w:pPr>
        <w:pStyle w:val="FirstParagraph"/>
      </w:pPr>
      <w:r>
        <w:rPr>
          <w:bCs/>
          <w:b/>
        </w:rPr>
        <w:t xml:space="preserve">[À COMPLÉTER]</w:t>
      </w:r>
      <w:r>
        <w:t xml:space="preserve"> </w:t>
      </w:r>
      <w:r>
        <w:t xml:space="preserve">— Gabarit :</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28"/>
        <w:gridCol w:w="1013"/>
        <w:gridCol w:w="1120"/>
        <w:gridCol w:w="1120"/>
        <w:gridCol w:w="856"/>
        <w:gridCol w:w="944"/>
        <w:gridCol w:w="856"/>
        <w:gridCol w:w="934"/>
        <w:gridCol w:w="1208"/>
        <w:gridCol w:w="1032"/>
      </w:tblGrid>
      <w:tr>
        <w:trPr>
          <w:tblHeader w:val="true"/>
          <w:tblHeader w:val="true"/>
          <w:cantSplit w:val="true"/>
        </w:trPr>
        <w:tc>
          <w:tcPr>
            <w:tcW w:w="328" w:type="dxa"/>
            <w:shd w:val="clear" w:color="auto" w:fill="1F3A5F"/>
          </w:tcPr>
          <w:p>
            <w:pPr>
              <w:pStyle w:val="Compact"/>
              <w:spacing w:after="20" w:before="20"/>
              <w:jc w:val="left"/>
            </w:pPr>
            <w:r>
              <w:rPr>
                <w:b/>
                <w:color w:val="FFFFFF"/>
                <w:sz w:val="16"/>
              </w:rPr>
              <w:t xml:space="preserve">#</w:t>
            </w:r>
          </w:p>
        </w:tc>
        <w:tc>
          <w:tcPr>
            <w:tcW w:w="1013" w:type="dxa"/>
            <w:shd w:val="clear" w:color="auto" w:fill="1F3A5F"/>
          </w:tcPr>
          <w:p>
            <w:pPr>
              <w:pStyle w:val="Compact"/>
              <w:spacing w:after="20" w:before="20"/>
              <w:jc w:val="center"/>
            </w:pPr>
            <w:r>
              <w:rPr>
                <w:b/>
                <w:color w:val="FFFFFF"/>
                <w:sz w:val="16"/>
              </w:rPr>
              <w:t xml:space="preserve">Cas d'incident</w:t>
            </w:r>
          </w:p>
        </w:tc>
        <w:tc>
          <w:tcPr>
            <w:tcW w:w="1120" w:type="dxa"/>
            <w:shd w:val="clear" w:color="auto" w:fill="1F3A5F"/>
          </w:tcPr>
          <w:p>
            <w:pPr>
              <w:pStyle w:val="Compact"/>
              <w:spacing w:after="20" w:before="20"/>
              <w:jc w:val="center"/>
            </w:pPr>
            <w:r>
              <w:rPr>
                <w:b/>
                <w:color w:val="FFFFFF"/>
                <w:sz w:val="16"/>
              </w:rPr>
              <w:t xml:space="preserve">Ressources vitales</w:t>
            </w:r>
          </w:p>
        </w:tc>
        <w:tc>
          <w:tcPr>
            <w:tcW w:w="1120" w:type="dxa"/>
            <w:shd w:val="clear" w:color="auto" w:fill="1F3A5F"/>
          </w:tcPr>
          <w:p>
            <w:pPr>
              <w:pStyle w:val="Compact"/>
              <w:spacing w:after="20" w:before="20"/>
              <w:jc w:val="center"/>
            </w:pPr>
            <w:r>
              <w:rPr>
                <w:b/>
                <w:color w:val="FFFFFF"/>
                <w:sz w:val="16"/>
              </w:rPr>
              <w:t xml:space="preserve">Ressources critiques</w:t>
            </w:r>
          </w:p>
        </w:tc>
        <w:tc>
          <w:tcPr>
            <w:tcW w:w="856" w:type="dxa"/>
            <w:shd w:val="clear" w:color="auto" w:fill="1F3A5F"/>
          </w:tcPr>
          <w:p>
            <w:pPr>
              <w:pStyle w:val="Compact"/>
              <w:spacing w:after="20" w:before="20"/>
              <w:jc w:val="center"/>
            </w:pPr>
            <w:r>
              <w:rPr>
                <w:b/>
                <w:color w:val="FFFFFF"/>
                <w:sz w:val="16"/>
              </w:rPr>
              <w:t xml:space="preserve">Données</w:t>
            </w:r>
          </w:p>
        </w:tc>
        <w:tc>
          <w:tcPr>
            <w:tcW w:w="944" w:type="dxa"/>
            <w:shd w:val="clear" w:color="auto" w:fill="1F3A5F"/>
          </w:tcPr>
          <w:p>
            <w:pPr>
              <w:pStyle w:val="Compact"/>
              <w:spacing w:after="20" w:before="20"/>
              <w:jc w:val="center"/>
            </w:pPr>
            <w:r>
              <w:rPr>
                <w:b/>
                <w:color w:val="FFFFFF"/>
                <w:sz w:val="16"/>
              </w:rPr>
              <w:t xml:space="preserve">Scénario</w:t>
            </w:r>
          </w:p>
        </w:tc>
        <w:tc>
          <w:tcPr>
            <w:tcW w:w="856" w:type="dxa"/>
            <w:shd w:val="clear" w:color="auto" w:fill="1F3A5F"/>
          </w:tcPr>
          <w:p>
            <w:pPr>
              <w:pStyle w:val="Compact"/>
              <w:spacing w:after="20" w:before="20"/>
              <w:jc w:val="center"/>
            </w:pPr>
            <w:r>
              <w:rPr>
                <w:b/>
                <w:color w:val="FFFFFF"/>
                <w:sz w:val="16"/>
              </w:rPr>
              <w:t xml:space="preserve">Gravité (1-5)</w:t>
            </w:r>
          </w:p>
        </w:tc>
        <w:tc>
          <w:tcPr>
            <w:tcW w:w="934" w:type="dxa"/>
            <w:shd w:val="clear" w:color="auto" w:fill="1F3A5F"/>
          </w:tcPr>
          <w:p>
            <w:pPr>
              <w:pStyle w:val="Compact"/>
              <w:spacing w:after="20" w:before="20"/>
              <w:jc w:val="center"/>
            </w:pPr>
            <w:r>
              <w:rPr>
                <w:b/>
                <w:color w:val="FFFFFF"/>
                <w:sz w:val="16"/>
              </w:rPr>
              <w:t xml:space="preserve">Fréquence (1 fois tous les</w:t>
            </w:r>
            <w:r>
              <w:rPr>
                <w:b/>
                <w:color w:val="FFFFFF"/>
                <w:sz w:val="16"/>
              </w:rPr>
              <w:t xml:space="preserve"> </w:t>
            </w:r>
            <w:r>
              <w:rPr>
                <w:iCs/>
                <w:b/>
                <w:i/>
                <w:color w:val="FFFFFF"/>
                <w:sz w:val="16"/>
              </w:rPr>
              <w:t xml:space="preserve">x</w:t>
            </w:r>
            <w:r>
              <w:rPr>
                <w:b/>
                <w:color w:val="FFFFFF"/>
                <w:sz w:val="16"/>
              </w:rPr>
              <w:t xml:space="preserve"> </w:t>
            </w:r>
            <w:r>
              <w:rPr>
                <w:b/>
                <w:color w:val="FFFFFF"/>
                <w:sz w:val="16"/>
              </w:rPr>
              <w:t xml:space="preserve">ans)</w:t>
            </w:r>
          </w:p>
        </w:tc>
        <w:tc>
          <w:tcPr>
            <w:tcW w:w="1208" w:type="dxa"/>
            <w:shd w:val="clear" w:color="auto" w:fill="1F3A5F"/>
          </w:tcPr>
          <w:p>
            <w:pPr>
              <w:pStyle w:val="Compact"/>
              <w:spacing w:after="20" w:before="20"/>
              <w:jc w:val="center"/>
            </w:pPr>
            <w:r>
              <w:rPr>
                <w:b/>
                <w:color w:val="FFFFFF"/>
                <w:sz w:val="16"/>
              </w:rPr>
              <w:t xml:space="preserve">Probabilité</w:t>
            </w:r>
          </w:p>
        </w:tc>
        <w:tc>
          <w:tcPr>
            <w:tcW w:w="1032" w:type="dxa"/>
            <w:shd w:val="clear" w:color="auto" w:fill="1F3A5F"/>
          </w:tcPr>
          <w:p>
            <w:pPr>
              <w:pStyle w:val="Compact"/>
              <w:spacing w:after="20" w:before="20"/>
              <w:jc w:val="center"/>
            </w:pPr>
            <w:r>
              <w:rPr>
                <w:b/>
                <w:color w:val="FFFFFF"/>
                <w:sz w:val="16"/>
              </w:rPr>
              <w:t xml:space="preserve">Criticité</w:t>
            </w:r>
          </w:p>
        </w:tc>
      </w:tr>
      <w:tr>
        <w:trPr>
          <w:cantSplit w:val="true"/>
        </w:trPr>
        <w:tc>
          <w:tcPr>
            <w:tcW w:w="328" w:type="dxa"/>
          </w:tcPr>
          <w:p>
            <w:pPr>
              <w:pStyle w:val="Compact"/>
              <w:spacing w:after="20" w:before="20"/>
              <w:jc w:val="left"/>
            </w:pPr>
            <w:r>
              <w:rPr>
                <w:sz w:val="16"/>
              </w:rPr>
              <w:t xml:space="preserve">1</w:t>
            </w:r>
          </w:p>
        </w:tc>
        <w:tc>
          <w:tcPr>
            <w:tcW w:w="1013" w:type="dxa"/>
          </w:tcPr>
          <w:p>
            <w:pPr>
              <w:pStyle w:val="Compact"/>
              <w:spacing w:after="20" w:before="20"/>
              <w:jc w:val="center"/>
            </w:pPr>
            <w:r>
              <w:rPr>
                <w:iCs/>
                <w:i/>
                <w:sz w:val="16"/>
              </w:rPr>
              <w:t xml:space="preserve">Ex. perte d'une baie de stockage sur</w:t>
            </w:r>
            <w:r>
              <w:rPr>
                <w:iCs/>
                <w:i/>
                <w:sz w:val="16"/>
              </w:rPr>
              <w:t xml:space="preserve"> </w:t>
            </w:r>
            <w:r>
              <w:rPr>
                <w:rStyle w:val="VerbatimChar"/>
                <w:iCs/>
                <w:b/>
                <w:i/>
                <w:color w:val="8A5A00"/>
                <w:sz w:val="16"/>
              </w:rPr>
              <w:t xml:space="preserve">{{SITE_A}}</w:t>
            </w:r>
          </w:p>
        </w:tc>
        <w:tc>
          <w:tcPr>
            <w:tcW w:w="1120" w:type="dxa"/>
          </w:tcPr>
          <w:p>
            <w:pPr>
              <w:pStyle w:val="Compact"/>
              <w:spacing w:after="20" w:before="20"/>
              <w:jc w:val="center"/>
            </w:pPr>
          </w:p>
        </w:tc>
        <w:tc>
          <w:tcPr>
            <w:tcW w:w="1120" w:type="dxa"/>
          </w:tcPr>
          <w:p>
            <w:pPr>
              <w:pStyle w:val="Compact"/>
              <w:spacing w:after="20" w:before="20"/>
              <w:jc w:val="center"/>
            </w:pPr>
          </w:p>
        </w:tc>
        <w:tc>
          <w:tcPr>
            <w:tcW w:w="856" w:type="dxa"/>
          </w:tcPr>
          <w:p>
            <w:pPr>
              <w:pStyle w:val="Compact"/>
              <w:spacing w:after="20" w:before="20"/>
              <w:jc w:val="center"/>
            </w:pPr>
          </w:p>
        </w:tc>
        <w:tc>
          <w:tcPr>
            <w:tcW w:w="944" w:type="dxa"/>
          </w:tcPr>
          <w:p>
            <w:pPr>
              <w:pStyle w:val="Compact"/>
              <w:spacing w:after="20" w:before="20"/>
              <w:jc w:val="center"/>
            </w:pPr>
            <w:r>
              <w:rPr>
                <w:sz w:val="16"/>
              </w:rPr>
              <w:t xml:space="preserve">IPP</w:t>
            </w:r>
          </w:p>
        </w:tc>
        <w:tc>
          <w:tcPr>
            <w:tcW w:w="856" w:type="dxa"/>
          </w:tcPr>
          <w:p>
            <w:pPr>
              <w:pStyle w:val="Compact"/>
              <w:spacing w:after="20" w:before="20"/>
              <w:jc w:val="center"/>
            </w:pPr>
          </w:p>
        </w:tc>
        <w:tc>
          <w:tcPr>
            <w:tcW w:w="934" w:type="dxa"/>
          </w:tcPr>
          <w:p>
            <w:pPr>
              <w:pStyle w:val="Compact"/>
              <w:spacing w:after="20" w:before="20"/>
              <w:jc w:val="center"/>
            </w:pPr>
          </w:p>
        </w:tc>
        <w:tc>
          <w:tcPr>
            <w:tcW w:w="1208" w:type="dxa"/>
          </w:tcPr>
          <w:p>
            <w:pPr>
              <w:pStyle w:val="Compact"/>
              <w:spacing w:after="20" w:before="20"/>
              <w:jc w:val="center"/>
            </w:pPr>
          </w:p>
        </w:tc>
        <w:tc>
          <w:tcPr>
            <w:tcW w:w="1032" w:type="dxa"/>
          </w:tcPr>
          <w:p>
            <w:pPr>
              <w:pStyle w:val="Compact"/>
              <w:spacing w:after="20" w:before="20"/>
              <w:jc w:val="center"/>
            </w:pPr>
          </w:p>
        </w:tc>
      </w:tr>
      <w:tr>
        <w:trPr>
          <w:cantSplit w:val="true"/>
        </w:trPr>
        <w:tc>
          <w:tcPr>
            <w:tcW w:w="328" w:type="dxa"/>
            <w:shd w:val="clear" w:color="auto" w:fill="EEF2F6"/>
          </w:tcPr>
          <w:p>
            <w:pPr>
              <w:pStyle w:val="Compact"/>
              <w:spacing w:after="20" w:before="20"/>
              <w:jc w:val="left"/>
            </w:pPr>
            <w:r>
              <w:rPr>
                <w:sz w:val="16"/>
              </w:rPr>
              <w:t xml:space="preserve">2</w:t>
            </w:r>
          </w:p>
        </w:tc>
        <w:tc>
          <w:tcPr>
            <w:tcW w:w="1013" w:type="dxa"/>
            <w:shd w:val="clear" w:color="auto" w:fill="EEF2F6"/>
          </w:tcPr>
          <w:p>
            <w:pPr>
              <w:pStyle w:val="Compact"/>
              <w:spacing w:after="20" w:before="20"/>
              <w:jc w:val="center"/>
            </w:pPr>
            <w:r>
              <w:rPr>
                <w:iCs/>
                <w:i/>
                <w:sz w:val="16"/>
              </w:rPr>
              <w:t xml:space="preserve">Ex. chiffrement de l'ensemble des serveurs Windows</w:t>
            </w:r>
          </w:p>
        </w:tc>
        <w:tc>
          <w:tcPr>
            <w:tcW w:w="1120" w:type="dxa"/>
            <w:shd w:val="clear" w:color="auto" w:fill="EEF2F6"/>
          </w:tcPr>
          <w:p>
            <w:pPr>
              <w:pStyle w:val="Compact"/>
              <w:spacing w:after="20" w:before="20"/>
              <w:jc w:val="center"/>
            </w:pPr>
          </w:p>
        </w:tc>
        <w:tc>
          <w:tcPr>
            <w:tcW w:w="1120" w:type="dxa"/>
            <w:shd w:val="clear" w:color="auto" w:fill="EEF2F6"/>
          </w:tcPr>
          <w:p>
            <w:pPr>
              <w:pStyle w:val="Compact"/>
              <w:spacing w:after="20" w:before="20"/>
              <w:jc w:val="center"/>
            </w:pPr>
          </w:p>
        </w:tc>
        <w:tc>
          <w:tcPr>
            <w:tcW w:w="856" w:type="dxa"/>
            <w:shd w:val="clear" w:color="auto" w:fill="EEF2F6"/>
          </w:tcPr>
          <w:p>
            <w:pPr>
              <w:pStyle w:val="Compact"/>
              <w:spacing w:after="20" w:before="20"/>
              <w:jc w:val="center"/>
            </w:pPr>
          </w:p>
        </w:tc>
        <w:tc>
          <w:tcPr>
            <w:tcW w:w="944" w:type="dxa"/>
            <w:shd w:val="clear" w:color="auto" w:fill="EEF2F6"/>
          </w:tcPr>
          <w:p>
            <w:pPr>
              <w:pStyle w:val="Compact"/>
              <w:spacing w:after="20" w:before="20"/>
              <w:jc w:val="center"/>
            </w:pPr>
            <w:r>
              <w:rPr>
                <w:sz w:val="16"/>
              </w:rPr>
              <w:t xml:space="preserve">ILG</w:t>
            </w:r>
          </w:p>
        </w:tc>
        <w:tc>
          <w:tcPr>
            <w:tcW w:w="856" w:type="dxa"/>
            <w:shd w:val="clear" w:color="auto" w:fill="EEF2F6"/>
          </w:tcPr>
          <w:p>
            <w:pPr>
              <w:pStyle w:val="Compact"/>
              <w:spacing w:after="20" w:before="20"/>
              <w:jc w:val="center"/>
            </w:pPr>
          </w:p>
        </w:tc>
        <w:tc>
          <w:tcPr>
            <w:tcW w:w="934" w:type="dxa"/>
            <w:shd w:val="clear" w:color="auto" w:fill="EEF2F6"/>
          </w:tcPr>
          <w:p>
            <w:pPr>
              <w:pStyle w:val="Compact"/>
              <w:spacing w:after="20" w:before="20"/>
              <w:jc w:val="center"/>
            </w:pPr>
          </w:p>
        </w:tc>
        <w:tc>
          <w:tcPr>
            <w:tcW w:w="1208" w:type="dxa"/>
            <w:shd w:val="clear" w:color="auto" w:fill="EEF2F6"/>
          </w:tcPr>
          <w:p>
            <w:pPr>
              <w:pStyle w:val="Compact"/>
              <w:spacing w:after="20" w:before="20"/>
              <w:jc w:val="center"/>
            </w:pPr>
          </w:p>
        </w:tc>
        <w:tc>
          <w:tcPr>
            <w:tcW w:w="1032" w:type="dxa"/>
            <w:shd w:val="clear" w:color="auto" w:fill="EEF2F6"/>
          </w:tcPr>
          <w:p>
            <w:pPr>
              <w:pStyle w:val="Compact"/>
              <w:spacing w:after="20" w:before="20"/>
              <w:jc w:val="center"/>
            </w:pPr>
          </w:p>
        </w:tc>
      </w:tr>
      <w:tr>
        <w:trPr>
          <w:cantSplit w:val="true"/>
        </w:trPr>
        <w:tc>
          <w:tcPr>
            <w:tcW w:w="328" w:type="dxa"/>
          </w:tcPr>
          <w:p>
            <w:pPr>
              <w:pStyle w:val="Compact"/>
              <w:spacing w:after="20" w:before="20"/>
              <w:jc w:val="left"/>
            </w:pPr>
            <w:r>
              <w:rPr>
                <w:sz w:val="16"/>
              </w:rPr>
              <w:t xml:space="preserve">…</w:t>
            </w:r>
          </w:p>
        </w:tc>
        <w:tc>
          <w:tcPr>
            <w:tcW w:w="1013" w:type="dxa"/>
          </w:tcPr>
          <w:p>
            <w:pPr>
              <w:pStyle w:val="Compact"/>
              <w:spacing w:after="20" w:before="20"/>
              <w:jc w:val="center"/>
            </w:pPr>
          </w:p>
        </w:tc>
        <w:tc>
          <w:tcPr>
            <w:tcW w:w="1120" w:type="dxa"/>
          </w:tcPr>
          <w:p>
            <w:pPr>
              <w:pStyle w:val="Compact"/>
              <w:spacing w:after="20" w:before="20"/>
              <w:jc w:val="center"/>
            </w:pPr>
          </w:p>
        </w:tc>
        <w:tc>
          <w:tcPr>
            <w:tcW w:w="1120" w:type="dxa"/>
          </w:tcPr>
          <w:p>
            <w:pPr>
              <w:pStyle w:val="Compact"/>
              <w:spacing w:after="20" w:before="20"/>
              <w:jc w:val="center"/>
            </w:pPr>
          </w:p>
        </w:tc>
        <w:tc>
          <w:tcPr>
            <w:tcW w:w="856" w:type="dxa"/>
          </w:tcPr>
          <w:p>
            <w:pPr>
              <w:pStyle w:val="Compact"/>
              <w:spacing w:after="20" w:before="20"/>
              <w:jc w:val="center"/>
            </w:pPr>
          </w:p>
        </w:tc>
        <w:tc>
          <w:tcPr>
            <w:tcW w:w="944" w:type="dxa"/>
          </w:tcPr>
          <w:p>
            <w:pPr>
              <w:pStyle w:val="Compact"/>
              <w:spacing w:after="20" w:before="20"/>
              <w:jc w:val="center"/>
            </w:pPr>
          </w:p>
        </w:tc>
        <w:tc>
          <w:tcPr>
            <w:tcW w:w="856" w:type="dxa"/>
          </w:tcPr>
          <w:p>
            <w:pPr>
              <w:pStyle w:val="Compact"/>
              <w:spacing w:after="20" w:before="20"/>
              <w:jc w:val="center"/>
            </w:pPr>
          </w:p>
        </w:tc>
        <w:tc>
          <w:tcPr>
            <w:tcW w:w="934" w:type="dxa"/>
          </w:tcPr>
          <w:p>
            <w:pPr>
              <w:pStyle w:val="Compact"/>
              <w:spacing w:after="20" w:before="20"/>
              <w:jc w:val="center"/>
            </w:pPr>
          </w:p>
        </w:tc>
        <w:tc>
          <w:tcPr>
            <w:tcW w:w="1208" w:type="dxa"/>
          </w:tcPr>
          <w:p>
            <w:pPr>
              <w:pStyle w:val="Compact"/>
              <w:spacing w:after="20" w:before="20"/>
              <w:jc w:val="center"/>
            </w:pPr>
          </w:p>
        </w:tc>
        <w:tc>
          <w:tcPr>
            <w:tcW w:w="1032" w:type="dxa"/>
          </w:tcPr>
          <w:p>
            <w:pPr>
              <w:pStyle w:val="Compact"/>
              <w:spacing w:after="20" w:before="20"/>
              <w:jc w:val="center"/>
            </w:pPr>
          </w:p>
        </w:tc>
      </w:tr>
    </w:tbl>
    <w:p>
      <w:pPr>
        <w:pStyle w:val="BodyText"/>
      </w:pPr>
      <w:r>
        <w:t xml:space="preserve">Méthode de calcul proposée :</w:t>
      </w:r>
    </w:p>
    <w:p>
      <w:pPr>
        <w:numPr>
          <w:ilvl w:val="0"/>
          <w:numId w:val="1042"/>
        </w:numPr>
        <w:pStyle w:val="Compact"/>
      </w:pPr>
      <w:r>
        <w:rPr>
          <w:bCs/>
          <w:b/>
        </w:rPr>
        <w:t xml:space="preserve">Probabilité</w:t>
      </w:r>
      <w:r>
        <w:t xml:space="preserve"> </w:t>
      </w:r>
      <w:r>
        <w:t xml:space="preserve">= (durée d'indisponibilité en h/jour × nombre de jours/an) / fréquence (1 fois tous les</w:t>
      </w:r>
      <w:r>
        <w:t xml:space="preserve"> </w:t>
      </w:r>
      <w:r>
        <w:rPr>
          <w:iCs/>
          <w:i/>
        </w:rPr>
        <w:t xml:space="preserve">x</w:t>
      </w:r>
      <w:r>
        <w:t xml:space="preserve"> </w:t>
      </w:r>
      <w:r>
        <w:t xml:space="preserve">ans) ;</w:t>
      </w:r>
    </w:p>
    <w:p>
      <w:pPr>
        <w:numPr>
          <w:ilvl w:val="0"/>
          <w:numId w:val="1042"/>
        </w:numPr>
        <w:pStyle w:val="Compact"/>
      </w:pPr>
      <w:r>
        <w:rPr>
          <w:bCs/>
          <w:b/>
        </w:rPr>
        <w:t xml:space="preserve">Criticité</w:t>
      </w:r>
      <w:r>
        <w:t xml:space="preserve"> </w:t>
      </w:r>
      <w:r>
        <w:t xml:space="preserve">= exp(Gravité) × Probabilité — la fonction exponentielle donne un poids prépondérant aux scénarios graves, même rares ;</w:t>
      </w:r>
    </w:p>
    <w:p>
      <w:pPr>
        <w:numPr>
          <w:ilvl w:val="0"/>
          <w:numId w:val="1042"/>
        </w:numPr>
        <w:pStyle w:val="Compact"/>
      </w:pPr>
      <w:r>
        <w:rPr>
          <w:bCs/>
          <w:b/>
        </w:rPr>
        <w:t xml:space="preserve">Ressources vitales</w:t>
      </w:r>
      <w:r>
        <w:t xml:space="preserve"> </w:t>
      </w:r>
      <w:r>
        <w:t xml:space="preserve">: indispensables au fonctionnement nominal ;</w:t>
      </w:r>
    </w:p>
    <w:p>
      <w:pPr>
        <w:numPr>
          <w:ilvl w:val="0"/>
          <w:numId w:val="1042"/>
        </w:numPr>
        <w:pStyle w:val="Compact"/>
      </w:pPr>
      <w:r>
        <w:rPr>
          <w:bCs/>
          <w:b/>
        </w:rPr>
        <w:t xml:space="preserve">Ressources critiques</w:t>
      </w:r>
      <w:r>
        <w:t xml:space="preserve"> </w:t>
      </w:r>
      <w:r>
        <w:t xml:space="preserve">: indispensables au fonctionnement des sauvegardes.</w:t>
      </w:r>
    </w:p>
    <w:p>
      <w:pPr>
        <w:pStyle w:val="FirstParagraph"/>
      </w:pPr>
      <w:r>
        <w:t xml:space="preserve">⚠ Cette formule est une convention interne. Les échelles de gravité et de fréquence doivent être alignées sur la méthode d'analyse de risques de</w:t>
      </w:r>
      <w:r>
        <w:t xml:space="preserve"> </w:t>
      </w:r>
      <w:r>
        <w:rPr>
          <w:rStyle w:val="VerbatimChar"/>
          <w:b/>
          <w:color w:val="8A5A00"/>
        </w:rPr>
        <w:t xml:space="preserve">{{ORGANISATION}}</w:t>
      </w:r>
      <w:r>
        <w:t xml:space="preserve"> </w:t>
      </w:r>
      <w:r>
        <w:t xml:space="preserve">(par exemple EBIOS RM ou ISO 27005) pour garantir la comparabilité avec le registre des risques.</w:t>
      </w:r>
    </w:p>
    <w:bookmarkEnd w:id="91"/>
    <w:bookmarkStart w:id="92" w:name="infrastructure-cible"/>
    <w:p>
      <w:pPr>
        <w:pStyle w:val="Heading3"/>
      </w:pPr>
      <w:r>
        <w:t xml:space="preserve">8.7.2 Infrastructure cible</w:t>
      </w:r>
    </w:p>
    <w:p>
      <w:pPr>
        <w:pStyle w:val="FirstParagraph"/>
      </w:pPr>
      <w:r>
        <w:rPr>
          <w:bCs/>
          <w:b/>
        </w:rPr>
        <w:t xml:space="preserve">[À COMPLÉTER]</w:t>
      </w:r>
      <w:r>
        <w:t xml:space="preserve"> </w:t>
      </w:r>
      <w:r>
        <w:t xml:space="preserve">— Même gabarit.</w:t>
      </w:r>
    </w:p>
    <w:p>
      <w:pPr>
        <w:pStyle w:val="BodyText"/>
      </w:pPr>
      <w:r>
        <w:t xml:space="preserve">La généralisation de la haute disponibilité dans l'infrastructure cible dispense de restauration en cas d'IPP : ces incidents deviennent des cas de fonctionnement nominal dégradé. Les priorités se recentrent alors sur :</w:t>
      </w:r>
    </w:p>
    <w:p>
      <w:pPr>
        <w:numPr>
          <w:ilvl w:val="0"/>
          <w:numId w:val="1043"/>
        </w:numPr>
        <w:pStyle w:val="Compact"/>
      </w:pPr>
      <w:r>
        <w:t xml:space="preserve">le sinistre total, qui suppose un site tiers ;</w:t>
      </w:r>
    </w:p>
    <w:p>
      <w:pPr>
        <w:numPr>
          <w:ilvl w:val="0"/>
          <w:numId w:val="1043"/>
        </w:numPr>
        <w:pStyle w:val="Compact"/>
      </w:pPr>
      <w:r>
        <w:t xml:space="preserve">les sinistres massifs de type ILG et IPG ;</w:t>
      </w:r>
    </w:p>
    <w:p>
      <w:pPr>
        <w:numPr>
          <w:ilvl w:val="0"/>
          <w:numId w:val="1043"/>
        </w:numPr>
        <w:pStyle w:val="Compact"/>
      </w:pPr>
      <w:r>
        <w:t xml:space="preserve">les incidents de type ILP.</w:t>
      </w:r>
    </w:p>
    <w:bookmarkEnd w:id="92"/>
    <w:bookmarkEnd w:id="93"/>
    <w:bookmarkStart w:id="96" w:name="indisponibilité-des-données-hors-site"/>
    <w:p>
      <w:pPr>
        <w:pStyle w:val="Heading2"/>
      </w:pPr>
      <w:r>
        <w:t xml:space="preserve">8.8 Indisponibilité des données hors site</w:t>
      </w:r>
    </w:p>
    <w:p>
      <w:pPr>
        <w:pStyle w:val="FirstParagraph"/>
      </w:pPr>
      <w:r>
        <w:t xml:space="preserve">Deux hypothèses sont retenues.</w:t>
      </w:r>
    </w:p>
    <w:bookmarkStart w:id="94" w:name="X5d6d94e5519978d3deb42bb0d529165581444dc"/>
    <w:p>
      <w:pPr>
        <w:pStyle w:val="Heading3"/>
      </w:pPr>
      <w:r>
        <w:t xml:space="preserve">8.8.1 Services exploités par la DSI hors des sites principaux</w:t>
      </w:r>
    </w:p>
    <w:p>
      <w:pPr>
        <w:pStyle w:val="FirstParagraph"/>
      </w:pPr>
      <w:r>
        <w:t xml:space="preserve">Données stockées sur des infrastructures hébergées hors des sites principaux (agences, sites distants) mais exploitées par la DSI. Celle-ci organise une sécurisation couvrant un sinistre sur le site d'hébergement :</w:t>
      </w:r>
    </w:p>
    <w:p>
      <w:pPr>
        <w:numPr>
          <w:ilvl w:val="0"/>
          <w:numId w:val="1044"/>
        </w:numPr>
        <w:pStyle w:val="Compact"/>
      </w:pPr>
      <w:r>
        <w:t xml:space="preserve">les sauvegardes (socle technique, paramétrage, données métier) sont stockées sur les sites principaux ;</w:t>
      </w:r>
    </w:p>
    <w:p>
      <w:pPr>
        <w:numPr>
          <w:ilvl w:val="0"/>
          <w:numId w:val="1044"/>
        </w:numPr>
        <w:pStyle w:val="Compact"/>
      </w:pPr>
      <w:r>
        <w:t xml:space="preserve">la capacité de restauration est compatible avec les besoins exprimés par les métiers.</w:t>
      </w:r>
    </w:p>
    <w:bookmarkEnd w:id="94"/>
    <w:bookmarkStart w:id="95" w:name="prestations-sous-traitées-par-la-dsi"/>
    <w:p>
      <w:pPr>
        <w:pStyle w:val="Heading3"/>
      </w:pPr>
      <w:r>
        <w:t xml:space="preserve">8.8.2 Prestations sous-traitées par la DSI</w:t>
      </w:r>
    </w:p>
    <w:p>
      <w:pPr>
        <w:pStyle w:val="FirstParagraph"/>
      </w:pPr>
      <w:r>
        <w:t xml:space="preserve">Certaines données du SI sont hébergées hors site et exploitées par un prestataire sous la responsabilité de la DSI. Le scénario dépend du type de prestataire.</w:t>
      </w:r>
    </w:p>
    <w:p>
      <w:pPr>
        <w:pStyle w:val="BodyText"/>
      </w:pPr>
      <w:r>
        <w:rPr>
          <w:bCs/>
          <w:b/>
        </w:rPr>
        <w:t xml:space="preserve">Prestataires intra-groupe</w:t>
      </w:r>
      <w:r>
        <w:t xml:space="preserve"> </w:t>
      </w:r>
      <w:r>
        <w:rPr>
          <w:bCs/>
          <w:b/>
        </w:rPr>
        <w:t xml:space="preserve">[À COMPLÉTER : cas concrets le cas échéant]</w:t>
      </w:r>
    </w:p>
    <w:p>
      <w:pPr>
        <w:pStyle w:val="BodyText"/>
      </w:pPr>
      <w:r>
        <w:t xml:space="preserve">Chaque activité d'un prestataire intra-groupe participant à la sécurisation du SI reste sous la responsabilité de la DSI. Elle est encadrée par une ou plusieurs conventions de service précisant le cadre de réalisation, les responsabilités et les engagements réciproques.</w:t>
      </w:r>
    </w:p>
    <w:p>
      <w:pPr>
        <w:pStyle w:val="BodyText"/>
      </w:pPr>
      <w:r>
        <w:t xml:space="preserve">Le prestataire maintient dans le temps les niveaux d'opérabilité et de sécurisation contractualisés, y compris en cas de modification d'architecture, d'infrastructure, de méthodes ou de procédures. Tout incident est déclaré au centre de services via</w:t>
      </w:r>
      <w:r>
        <w:t xml:space="preserve"> </w:t>
      </w:r>
      <w:r>
        <w:rPr>
          <w:rStyle w:val="VerbatimChar"/>
          <w:b/>
          <w:color w:val="8A5A00"/>
        </w:rPr>
        <w:t xml:space="preserve">{{OUTIL_ITSM}}</w:t>
      </w:r>
      <w:r>
        <w:t xml:space="preserve"> </w:t>
      </w:r>
      <w:r>
        <w:t xml:space="preserve">et fait l'objet d'un suivi.</w:t>
      </w:r>
    </w:p>
    <w:p>
      <w:pPr>
        <w:pStyle w:val="BodyText"/>
      </w:pPr>
      <w:r>
        <w:rPr>
          <w:bCs/>
          <w:b/>
        </w:rPr>
        <w:t xml:space="preserve">Prestataires externes</w:t>
      </w:r>
    </w:p>
    <w:p>
      <w:pPr>
        <w:pStyle w:val="BodyText"/>
      </w:pPr>
      <w:r>
        <w:t xml:space="preserve">Les prestations encadrées par un Plan d'Assurance Sécurité (PAS) intègrent les exigences de la présente stratégie. La liste des prestations concernées figure en annexe</w:t>
      </w:r>
      <w:r>
        <w:t xml:space="preserve"> </w:t>
      </w:r>
      <w:r>
        <w:rPr>
          <w:bCs/>
          <w:b/>
        </w:rPr>
        <w:t xml:space="preserve">[À COMPLÉTER]</w:t>
      </w:r>
      <w:r>
        <w:t xml:space="preserv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525"/>
        <w:gridCol w:w="6886"/>
      </w:tblGrid>
      <w:tr>
        <w:trPr>
          <w:tblHeader w:val="true"/>
          <w:tblHeader w:val="true"/>
          <w:cantSplit w:val="true"/>
        </w:trPr>
        <w:tc>
          <w:tcPr>
            <w:tcW w:w="2525" w:type="dxa"/>
            <w:shd w:val="clear" w:color="auto" w:fill="1F3A5F"/>
          </w:tcPr>
          <w:p>
            <w:pPr>
              <w:pStyle w:val="Compact"/>
              <w:spacing w:after="20" w:before="20"/>
              <w:jc w:val="left"/>
            </w:pPr>
            <w:r>
              <w:rPr>
                <w:b/>
                <w:color w:val="FFFFFF"/>
                <w:sz w:val="18"/>
              </w:rPr>
              <w:t xml:space="preserve">Étape</w:t>
            </w:r>
          </w:p>
        </w:tc>
        <w:tc>
          <w:tcPr>
            <w:tcW w:w="6886" w:type="dxa"/>
            <w:shd w:val="clear" w:color="auto" w:fill="1F3A5F"/>
          </w:tcPr>
          <w:p>
            <w:pPr>
              <w:pStyle w:val="Compact"/>
              <w:spacing w:after="20" w:before="20"/>
              <w:jc w:val="left"/>
            </w:pPr>
            <w:r>
              <w:rPr>
                <w:b/>
                <w:color w:val="FFFFFF"/>
                <w:sz w:val="18"/>
              </w:rPr>
              <w:t xml:space="preserve">Exigences</w:t>
            </w:r>
          </w:p>
        </w:tc>
      </w:tr>
      <w:tr>
        <w:trPr>
          <w:cantSplit w:val="true"/>
        </w:trPr>
        <w:tc>
          <w:tcPr>
            <w:tcW w:w="2525" w:type="dxa"/>
          </w:tcPr>
          <w:p>
            <w:pPr>
              <w:pStyle w:val="Compact"/>
              <w:spacing w:after="20" w:before="20"/>
              <w:jc w:val="left"/>
            </w:pPr>
            <w:r>
              <w:rPr>
                <w:bCs/>
                <w:b/>
                <w:sz w:val="18"/>
              </w:rPr>
              <w:t xml:space="preserve">Contractualisation</w:t>
            </w:r>
          </w:p>
        </w:tc>
        <w:tc>
          <w:tcPr>
            <w:tcW w:w="6886" w:type="dxa"/>
          </w:tcPr>
          <w:p>
            <w:pPr>
              <w:pStyle w:val="Compact"/>
              <w:spacing w:after="20" w:before="20"/>
              <w:jc w:val="left"/>
            </w:pPr>
            <w:r>
              <w:rPr>
                <w:sz w:val="18"/>
              </w:rPr>
              <w:t xml:space="preserve">Offre de sécurité du prestataire validée par le DSI ou, par délégation, le RSSI · Clauses DMIA, PDMA et disponibilité spécifiées et compatibles avec l'OGS · Scénarios d'indisponibilité couverts explicités · Niveau de tests et d'exercices défini,</w:t>
            </w:r>
            <w:r>
              <w:rPr>
                <w:sz w:val="18"/>
              </w:rPr>
              <w:t xml:space="preserve"> </w:t>
            </w:r>
            <w:r>
              <w:rPr>
                <w:bCs/>
                <w:b/>
                <w:sz w:val="18"/>
              </w:rPr>
              <w:t xml:space="preserve">avec droit de participation ou d'audit</w:t>
            </w:r>
            <w:r>
              <w:rPr>
                <w:sz w:val="18"/>
              </w:rPr>
              <w:t xml:space="preserve"> </w:t>
            </w:r>
            <w:r>
              <w:rPr>
                <w:sz w:val="18"/>
              </w:rPr>
              <w:t xml:space="preserve">· Obligation de déclaration des incidents · Conditions de réversibilité et de restitution des données · Éléments de suivi attendus (métriques, rapports, bilans) · Désignation d'un responsable de compte côté DSI ·</w:t>
            </w:r>
            <w:r>
              <w:rPr>
                <w:sz w:val="18"/>
              </w:rPr>
              <w:t xml:space="preserve"> </w:t>
            </w:r>
            <w:r>
              <w:rPr>
                <w:bCs/>
                <w:b/>
                <w:sz w:val="18"/>
              </w:rPr>
              <w:t xml:space="preserve">Localisation et isolation des sauvegardes</w:t>
            </w:r>
            <w:r>
              <w:rPr>
                <w:sz w:val="18"/>
              </w:rPr>
              <w:t xml:space="preserve"> </w:t>
            </w:r>
            <w:r>
              <w:rPr>
                <w:sz w:val="18"/>
              </w:rPr>
              <w:t xml:space="preserve">du prestataire</w:t>
            </w:r>
          </w:p>
        </w:tc>
      </w:tr>
      <w:tr>
        <w:trPr>
          <w:cantSplit w:val="true"/>
        </w:trPr>
        <w:tc>
          <w:tcPr>
            <w:tcW w:w="2525" w:type="dxa"/>
            <w:shd w:val="clear" w:color="auto" w:fill="EEF2F6"/>
          </w:tcPr>
          <w:p>
            <w:pPr>
              <w:pStyle w:val="Compact"/>
              <w:spacing w:after="20" w:before="20"/>
              <w:jc w:val="left"/>
            </w:pPr>
            <w:r>
              <w:rPr>
                <w:bCs/>
                <w:b/>
                <w:sz w:val="18"/>
              </w:rPr>
              <w:t xml:space="preserve">Suivi de la prestation</w:t>
            </w:r>
          </w:p>
        </w:tc>
        <w:tc>
          <w:tcPr>
            <w:tcW w:w="6886" w:type="dxa"/>
            <w:shd w:val="clear" w:color="auto" w:fill="EEF2F6"/>
          </w:tcPr>
          <w:p>
            <w:pPr>
              <w:pStyle w:val="Compact"/>
              <w:spacing w:after="20" w:before="20"/>
              <w:jc w:val="left"/>
            </w:pPr>
            <w:r>
              <w:rPr>
                <w:sz w:val="18"/>
              </w:rPr>
              <w:t xml:space="preserve">Revue opérationnelle mensuelle avec le prestataire (responsable de compte) · Reporting tactique trimestriel au RPCI · Comité stratégique annuel entre les achats et la direction du prestataire</w:t>
            </w:r>
          </w:p>
        </w:tc>
      </w:tr>
      <w:tr>
        <w:trPr>
          <w:cantSplit w:val="true"/>
        </w:trPr>
        <w:tc>
          <w:tcPr>
            <w:tcW w:w="2525" w:type="dxa"/>
          </w:tcPr>
          <w:p>
            <w:pPr>
              <w:pStyle w:val="Compact"/>
              <w:spacing w:after="20" w:before="20"/>
              <w:jc w:val="left"/>
            </w:pPr>
            <w:r>
              <w:rPr>
                <w:bCs/>
                <w:b/>
                <w:sz w:val="18"/>
              </w:rPr>
              <w:t xml:space="preserve">Sinistre ou incident</w:t>
            </w:r>
          </w:p>
        </w:tc>
        <w:tc>
          <w:tcPr>
            <w:tcW w:w="6886" w:type="dxa"/>
          </w:tcPr>
          <w:p>
            <w:pPr>
              <w:pStyle w:val="Compact"/>
              <w:spacing w:after="20" w:before="20"/>
              <w:jc w:val="left"/>
            </w:pPr>
            <w:r>
              <w:rPr>
                <w:sz w:val="18"/>
              </w:rPr>
              <w:t xml:space="preserve">Le prestataire déclare l'incident au centre de services, applique ses dispositifs contractuels pour restaurer les données et informe du rétablissement · La DSI anime la cellule de coordination et informe les métiers concernés</w:t>
            </w:r>
          </w:p>
        </w:tc>
      </w:tr>
    </w:tbl>
    <w:bookmarkEnd w:id="95"/>
    <w:bookmarkEnd w:id="96"/>
    <w:bookmarkEnd w:id="97"/>
    <w:bookmarkStart w:id="109" w:name="offre-générale-de-sauvegarde-ogs"/>
    <w:p>
      <w:pPr>
        <w:pStyle w:val="Heading1"/>
      </w:pPr>
      <w:r>
        <w:t xml:space="preserve">9. Offre Générale de Sauvegarde (OGS)</w:t>
      </w:r>
    </w:p>
    <w:p>
      <w:pPr>
        <w:pStyle w:val="FirstParagraph"/>
      </w:pPr>
      <w:r>
        <w:t xml:space="preserve">L'OGS est l'élément central de la stratégie. Elle découle des scénarios, définitions et notions présentés précédemment et porte sur cinq aspects :</w:t>
      </w:r>
    </w:p>
    <w:p>
      <w:pPr>
        <w:numPr>
          <w:ilvl w:val="0"/>
          <w:numId w:val="1045"/>
        </w:numPr>
        <w:pStyle w:val="Compact"/>
      </w:pPr>
      <w:r>
        <w:t xml:space="preserve">les engagements de service de continuité ;</w:t>
      </w:r>
    </w:p>
    <w:p>
      <w:pPr>
        <w:numPr>
          <w:ilvl w:val="0"/>
          <w:numId w:val="1045"/>
        </w:numPr>
        <w:pStyle w:val="Compact"/>
      </w:pPr>
      <w:r>
        <w:t xml:space="preserve">la validation de ces engagements ;</w:t>
      </w:r>
    </w:p>
    <w:p>
      <w:pPr>
        <w:numPr>
          <w:ilvl w:val="0"/>
          <w:numId w:val="1045"/>
        </w:numPr>
        <w:pStyle w:val="Compact"/>
      </w:pPr>
      <w:r>
        <w:t xml:space="preserve">la sécurisation des données ;</w:t>
      </w:r>
    </w:p>
    <w:p>
      <w:pPr>
        <w:numPr>
          <w:ilvl w:val="0"/>
          <w:numId w:val="1045"/>
        </w:numPr>
        <w:pStyle w:val="Compact"/>
      </w:pPr>
      <w:r>
        <w:t xml:space="preserve">la couverture de l'ensemble des scénarios d'indisponibilité ;</w:t>
      </w:r>
    </w:p>
    <w:p>
      <w:pPr>
        <w:numPr>
          <w:ilvl w:val="0"/>
          <w:numId w:val="1045"/>
        </w:numPr>
        <w:pStyle w:val="Compact"/>
      </w:pPr>
      <w:r>
        <w:t xml:space="preserve">les modalités préétablies de gestion des incidents.</w:t>
      </w:r>
    </w:p>
    <w:bookmarkStart w:id="98" w:name="engagements-de-service-de-continuité"/>
    <w:p>
      <w:pPr>
        <w:pStyle w:val="Heading2"/>
      </w:pPr>
      <w:r>
        <w:t xml:space="preserve">9.1 Engagements de service de continuité</w:t>
      </w:r>
    </w:p>
    <w:p>
      <w:pPr>
        <w:pStyle w:val="FirstParagraph"/>
      </w:pPr>
      <w:r>
        <w:t xml:space="preserve">Les engagements varient selon le type d'incident ou de sinistre. La continuité est caractérisée par la PDMA et la DMIA.</w:t>
      </w:r>
    </w:p>
    <w:p>
      <w:pPr>
        <w:pStyle w:val="BodyText"/>
      </w:pPr>
      <w:r>
        <w:rPr>
          <w:bCs/>
          <w:b/>
        </w:rPr>
        <w:t xml:space="preserve">Valeurs par défaut [À VALIDER par les métiers]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3114"/>
        <w:gridCol w:w="2573"/>
        <w:gridCol w:w="1557"/>
        <w:gridCol w:w="1083"/>
        <w:gridCol w:w="1083"/>
      </w:tblGrid>
      <w:tr>
        <w:trPr>
          <w:tblHeader w:val="true"/>
          <w:tblHeader w:val="true"/>
          <w:cantSplit w:val="true"/>
        </w:trPr>
        <w:tc>
          <w:tcPr>
            <w:tcW w:w="3114" w:type="dxa"/>
            <w:shd w:val="clear" w:color="auto" w:fill="1F3A5F"/>
          </w:tcPr>
          <w:p>
            <w:pPr>
              <w:pStyle w:val="Compact"/>
              <w:spacing w:after="20" w:before="20"/>
              <w:jc w:val="left"/>
            </w:pPr>
            <w:r>
              <w:rPr>
                <w:b/>
                <w:color w:val="FFFFFF"/>
                <w:sz w:val="18"/>
              </w:rPr>
              <w:t xml:space="preserve">Scénario</w:t>
            </w:r>
          </w:p>
        </w:tc>
        <w:tc>
          <w:tcPr>
            <w:tcW w:w="2573" w:type="dxa"/>
            <w:shd w:val="clear" w:color="auto" w:fill="1F3A5F"/>
          </w:tcPr>
          <w:p>
            <w:pPr>
              <w:pStyle w:val="Compact"/>
              <w:spacing w:after="20" w:before="20"/>
              <w:jc w:val="left"/>
            </w:pPr>
            <w:r>
              <w:rPr>
                <w:b/>
                <w:color w:val="FFFFFF"/>
                <w:sz w:val="18"/>
              </w:rPr>
              <w:t xml:space="preserve">PROD — PDMA</w:t>
            </w:r>
          </w:p>
        </w:tc>
        <w:tc>
          <w:tcPr>
            <w:tcW w:w="1557" w:type="dxa"/>
            <w:shd w:val="clear" w:color="auto" w:fill="1F3A5F"/>
          </w:tcPr>
          <w:p>
            <w:pPr>
              <w:pStyle w:val="Compact"/>
              <w:spacing w:after="20" w:before="20"/>
              <w:jc w:val="left"/>
            </w:pPr>
            <w:r>
              <w:rPr>
                <w:b/>
                <w:color w:val="FFFFFF"/>
                <w:sz w:val="18"/>
              </w:rPr>
              <w:t xml:space="preserve">PROD — DMIA</w:t>
            </w:r>
          </w:p>
        </w:tc>
        <w:tc>
          <w:tcPr>
            <w:tcW w:w="1083" w:type="dxa"/>
            <w:shd w:val="clear" w:color="auto" w:fill="1F3A5F"/>
          </w:tcPr>
          <w:p>
            <w:pPr>
              <w:pStyle w:val="Compact"/>
              <w:spacing w:after="20" w:before="20"/>
              <w:jc w:val="left"/>
            </w:pPr>
            <w:r>
              <w:rPr>
                <w:b/>
                <w:color w:val="FFFFFF"/>
                <w:sz w:val="18"/>
              </w:rPr>
              <w:t xml:space="preserve">Hors PROD — PDMA</w:t>
            </w:r>
          </w:p>
        </w:tc>
        <w:tc>
          <w:tcPr>
            <w:tcW w:w="1083" w:type="dxa"/>
            <w:shd w:val="clear" w:color="auto" w:fill="1F3A5F"/>
          </w:tcPr>
          <w:p>
            <w:pPr>
              <w:pStyle w:val="Compact"/>
              <w:spacing w:after="20" w:before="20"/>
              <w:jc w:val="left"/>
            </w:pPr>
            <w:r>
              <w:rPr>
                <w:b/>
                <w:color w:val="FFFFFF"/>
                <w:sz w:val="18"/>
              </w:rPr>
              <w:t xml:space="preserve">Hors PROD — DMIA</w:t>
            </w:r>
          </w:p>
        </w:tc>
      </w:tr>
      <w:tr>
        <w:trPr>
          <w:cantSplit w:val="true"/>
        </w:trPr>
        <w:tc>
          <w:tcPr>
            <w:tcW w:w="3114" w:type="dxa"/>
          </w:tcPr>
          <w:p>
            <w:pPr>
              <w:pStyle w:val="Compact"/>
              <w:spacing w:after="20" w:before="20"/>
              <w:jc w:val="left"/>
            </w:pPr>
            <w:r>
              <w:rPr>
                <w:sz w:val="18"/>
              </w:rPr>
              <w:t xml:space="preserve">Nominal dégradé</w:t>
            </w:r>
          </w:p>
        </w:tc>
        <w:tc>
          <w:tcPr>
            <w:tcW w:w="2573" w:type="dxa"/>
          </w:tcPr>
          <w:p>
            <w:pPr>
              <w:pStyle w:val="Compact"/>
              <w:spacing w:after="20" w:before="20"/>
              <w:jc w:val="left"/>
            </w:pPr>
            <w:r>
              <w:rPr>
                <w:sz w:val="18"/>
              </w:rPr>
              <w:t xml:space="preserve">N/A</w:t>
            </w:r>
          </w:p>
        </w:tc>
        <w:tc>
          <w:tcPr>
            <w:tcW w:w="1557" w:type="dxa"/>
          </w:tcPr>
          <w:p>
            <w:pPr>
              <w:pStyle w:val="Compact"/>
              <w:spacing w:after="20" w:before="20"/>
              <w:jc w:val="left"/>
            </w:pPr>
            <w:r>
              <w:rPr>
                <w:sz w:val="18"/>
              </w:rPr>
              <w:t xml:space="preserve">0</w:t>
            </w:r>
          </w:p>
        </w:tc>
        <w:tc>
          <w:tcPr>
            <w:tcW w:w="1083" w:type="dxa"/>
          </w:tcPr>
          <w:p>
            <w:pPr>
              <w:pStyle w:val="Compact"/>
              <w:spacing w:after="20" w:before="20"/>
              <w:jc w:val="left"/>
            </w:pPr>
            <w:r>
              <w:rPr>
                <w:sz w:val="18"/>
              </w:rPr>
              <w:t xml:space="preserve">N/A</w:t>
            </w:r>
          </w:p>
        </w:tc>
        <w:tc>
          <w:tcPr>
            <w:tcW w:w="1083" w:type="dxa"/>
          </w:tcPr>
          <w:p>
            <w:pPr>
              <w:pStyle w:val="Compact"/>
              <w:spacing w:after="20" w:before="20"/>
              <w:jc w:val="left"/>
            </w:pPr>
            <w:r>
              <w:rPr>
                <w:sz w:val="18"/>
              </w:rPr>
              <w:t xml:space="preserve">0</w:t>
            </w:r>
          </w:p>
        </w:tc>
      </w:tr>
      <w:tr>
        <w:trPr>
          <w:cantSplit w:val="true"/>
        </w:trPr>
        <w:tc>
          <w:tcPr>
            <w:tcW w:w="3114" w:type="dxa"/>
            <w:shd w:val="clear" w:color="auto" w:fill="EEF2F6"/>
          </w:tcPr>
          <w:p>
            <w:pPr>
              <w:pStyle w:val="Compact"/>
              <w:spacing w:after="20" w:before="20"/>
              <w:jc w:val="left"/>
            </w:pPr>
            <w:r>
              <w:rPr>
                <w:sz w:val="18"/>
              </w:rPr>
              <w:t xml:space="preserve">ILP</w:t>
            </w:r>
          </w:p>
        </w:tc>
        <w:tc>
          <w:tcPr>
            <w:tcW w:w="2573" w:type="dxa"/>
            <w:shd w:val="clear" w:color="auto" w:fill="EEF2F6"/>
          </w:tcPr>
          <w:p>
            <w:pPr>
              <w:pStyle w:val="Compact"/>
              <w:spacing w:after="20" w:before="20"/>
              <w:jc w:val="left"/>
            </w:pPr>
            <w:r>
              <w:rPr>
                <w:sz w:val="18"/>
              </w:rPr>
              <w:t xml:space="preserve">≤ 24 h</w:t>
            </w:r>
          </w:p>
        </w:tc>
        <w:tc>
          <w:tcPr>
            <w:tcW w:w="1557" w:type="dxa"/>
            <w:shd w:val="clear" w:color="auto" w:fill="EEF2F6"/>
          </w:tcPr>
          <w:p>
            <w:pPr>
              <w:pStyle w:val="Compact"/>
              <w:spacing w:after="20" w:before="20"/>
              <w:jc w:val="left"/>
            </w:pPr>
            <w:r>
              <w:rPr>
                <w:sz w:val="18"/>
              </w:rPr>
              <w:t xml:space="preserve">≤ 12 h</w:t>
            </w:r>
          </w:p>
        </w:tc>
        <w:tc>
          <w:tcPr>
            <w:tcW w:w="1083" w:type="dxa"/>
            <w:shd w:val="clear" w:color="auto" w:fill="EEF2F6"/>
          </w:tcPr>
          <w:p>
            <w:pPr>
              <w:pStyle w:val="Compact"/>
              <w:spacing w:after="20" w:before="20"/>
              <w:jc w:val="left"/>
            </w:pPr>
            <w:r>
              <w:rPr>
                <w:sz w:val="18"/>
              </w:rPr>
              <w:t xml:space="preserve">≤ 24 h</w:t>
            </w:r>
          </w:p>
        </w:tc>
        <w:tc>
          <w:tcPr>
            <w:tcW w:w="1083" w:type="dxa"/>
            <w:shd w:val="clear" w:color="auto" w:fill="EEF2F6"/>
          </w:tcPr>
          <w:p>
            <w:pPr>
              <w:pStyle w:val="Compact"/>
              <w:spacing w:after="20" w:before="20"/>
              <w:jc w:val="left"/>
            </w:pPr>
            <w:r>
              <w:rPr>
                <w:sz w:val="18"/>
              </w:rPr>
              <w:t xml:space="preserve">≤ 12 h</w:t>
            </w:r>
          </w:p>
        </w:tc>
      </w:tr>
      <w:tr>
        <w:trPr>
          <w:cantSplit w:val="true"/>
        </w:trPr>
        <w:tc>
          <w:tcPr>
            <w:tcW w:w="3114" w:type="dxa"/>
          </w:tcPr>
          <w:p>
            <w:pPr>
              <w:pStyle w:val="Compact"/>
              <w:spacing w:after="20" w:before="20"/>
              <w:jc w:val="left"/>
            </w:pPr>
            <w:r>
              <w:rPr>
                <w:sz w:val="18"/>
              </w:rPr>
              <w:t xml:space="preserve">IPP</w:t>
            </w:r>
          </w:p>
        </w:tc>
        <w:tc>
          <w:tcPr>
            <w:tcW w:w="2573" w:type="dxa"/>
          </w:tcPr>
          <w:p>
            <w:pPr>
              <w:pStyle w:val="Compact"/>
              <w:spacing w:after="20" w:before="20"/>
              <w:jc w:val="left"/>
            </w:pPr>
            <w:r>
              <w:rPr>
                <w:sz w:val="18"/>
              </w:rPr>
              <w:t xml:space="preserve">0</w:t>
            </w:r>
          </w:p>
        </w:tc>
        <w:tc>
          <w:tcPr>
            <w:tcW w:w="1557" w:type="dxa"/>
          </w:tcPr>
          <w:p>
            <w:pPr>
              <w:pStyle w:val="Compact"/>
              <w:spacing w:after="20" w:before="20"/>
              <w:jc w:val="left"/>
            </w:pPr>
            <w:r>
              <w:rPr>
                <w:sz w:val="18"/>
              </w:rPr>
              <w:t xml:space="preserve">≤ 1 h</w:t>
            </w:r>
          </w:p>
        </w:tc>
        <w:tc>
          <w:tcPr>
            <w:tcW w:w="1083" w:type="dxa"/>
          </w:tcPr>
          <w:p>
            <w:pPr>
              <w:pStyle w:val="Compact"/>
              <w:spacing w:after="20" w:before="20"/>
              <w:jc w:val="left"/>
            </w:pPr>
            <w:r>
              <w:rPr>
                <w:sz w:val="18"/>
              </w:rPr>
              <w:t xml:space="preserve">0</w:t>
            </w:r>
          </w:p>
        </w:tc>
        <w:tc>
          <w:tcPr>
            <w:tcW w:w="1083" w:type="dxa"/>
          </w:tcPr>
          <w:p>
            <w:pPr>
              <w:pStyle w:val="Compact"/>
              <w:spacing w:after="20" w:before="20"/>
              <w:jc w:val="left"/>
            </w:pPr>
            <w:r>
              <w:rPr>
                <w:sz w:val="18"/>
              </w:rPr>
              <w:t xml:space="preserve">≤ 24 h</w:t>
            </w:r>
          </w:p>
        </w:tc>
      </w:tr>
      <w:tr>
        <w:trPr>
          <w:cantSplit w:val="true"/>
        </w:trPr>
        <w:tc>
          <w:tcPr>
            <w:tcW w:w="3114" w:type="dxa"/>
            <w:shd w:val="clear" w:color="auto" w:fill="EEF2F6"/>
          </w:tcPr>
          <w:p>
            <w:pPr>
              <w:pStyle w:val="Compact"/>
              <w:spacing w:after="20" w:before="20"/>
              <w:jc w:val="left"/>
            </w:pPr>
            <w:r>
              <w:rPr>
                <w:sz w:val="18"/>
              </w:rPr>
              <w:t xml:space="preserve">ILG — corruption technique, sauvegardes saines</w:t>
            </w:r>
          </w:p>
        </w:tc>
        <w:tc>
          <w:tcPr>
            <w:tcW w:w="2573" w:type="dxa"/>
            <w:shd w:val="clear" w:color="auto" w:fill="EEF2F6"/>
          </w:tcPr>
          <w:p>
            <w:pPr>
              <w:pStyle w:val="Compact"/>
              <w:spacing w:after="20" w:before="20"/>
              <w:jc w:val="left"/>
            </w:pPr>
            <w:r>
              <w:rPr>
                <w:sz w:val="18"/>
              </w:rPr>
              <w:t xml:space="preserve">≤ 24 h (**)</w:t>
            </w:r>
          </w:p>
        </w:tc>
        <w:tc>
          <w:tcPr>
            <w:tcW w:w="1557" w:type="dxa"/>
            <w:shd w:val="clear" w:color="auto" w:fill="EEF2F6"/>
          </w:tcPr>
          <w:p>
            <w:pPr>
              <w:pStyle w:val="Compact"/>
              <w:spacing w:after="20" w:before="20"/>
              <w:jc w:val="left"/>
            </w:pPr>
            <w:r>
              <w:rPr>
                <w:sz w:val="18"/>
              </w:rPr>
              <w:t xml:space="preserve">≤ 12 h</w:t>
            </w:r>
          </w:p>
        </w:tc>
        <w:tc>
          <w:tcPr>
            <w:tcW w:w="1083" w:type="dxa"/>
            <w:shd w:val="clear" w:color="auto" w:fill="EEF2F6"/>
          </w:tcPr>
          <w:p>
            <w:pPr>
              <w:pStyle w:val="Compact"/>
              <w:spacing w:after="20" w:before="20"/>
              <w:jc w:val="left"/>
            </w:pPr>
            <w:r>
              <w:rPr>
                <w:sz w:val="18"/>
              </w:rPr>
              <w:t xml:space="preserve">≤ 24 h (**)</w:t>
            </w:r>
          </w:p>
        </w:tc>
        <w:tc>
          <w:tcPr>
            <w:tcW w:w="1083" w:type="dxa"/>
            <w:shd w:val="clear" w:color="auto" w:fill="EEF2F6"/>
          </w:tcPr>
          <w:p>
            <w:pPr>
              <w:pStyle w:val="Compact"/>
              <w:spacing w:after="20" w:before="20"/>
              <w:jc w:val="left"/>
            </w:pPr>
            <w:r>
              <w:rPr>
                <w:sz w:val="18"/>
              </w:rPr>
              <w:t xml:space="preserve">≤ 48 h</w:t>
            </w:r>
          </w:p>
        </w:tc>
      </w:tr>
      <w:tr>
        <w:trPr>
          <w:cantSplit w:val="true"/>
        </w:trPr>
        <w:tc>
          <w:tcPr>
            <w:tcW w:w="3114" w:type="dxa"/>
          </w:tcPr>
          <w:p>
            <w:pPr>
              <w:pStyle w:val="Compact"/>
              <w:spacing w:after="20" w:before="20"/>
              <w:jc w:val="left"/>
            </w:pPr>
            <w:r>
              <w:rPr>
                <w:sz w:val="18"/>
              </w:rPr>
              <w:t xml:space="preserve">ILG — cyberattaque avec reconstruction</w:t>
            </w:r>
          </w:p>
        </w:tc>
        <w:tc>
          <w:tcPr>
            <w:tcW w:w="2573" w:type="dxa"/>
          </w:tcPr>
          <w:p>
            <w:pPr>
              <w:pStyle w:val="Compact"/>
              <w:spacing w:after="20" w:before="20"/>
              <w:jc w:val="left"/>
            </w:pPr>
            <w:r>
              <w:rPr>
                <w:sz w:val="18"/>
              </w:rPr>
              <w:t xml:space="preserve">≤ 24 h (**) (***)</w:t>
            </w:r>
          </w:p>
        </w:tc>
        <w:tc>
          <w:tcPr>
            <w:tcW w:w="1557" w:type="dxa"/>
          </w:tcPr>
          <w:p>
            <w:pPr>
              <w:pStyle w:val="Compact"/>
              <w:spacing w:after="20" w:before="20"/>
              <w:jc w:val="left"/>
            </w:pPr>
            <w:r>
              <w:rPr>
                <w:rStyle w:val="VerbatimChar"/>
                <w:b/>
                <w:color w:val="8A5A00"/>
                <w:sz w:val="18"/>
              </w:rPr>
              <w:t xml:space="preserve">{{…}}</w:t>
            </w:r>
            <w:r>
              <w:rPr>
                <w:sz w:val="18"/>
              </w:rPr>
              <w:t xml:space="preserve"> </w:t>
            </w:r>
            <w:r>
              <w:rPr>
                <w:bCs/>
                <w:b/>
                <w:sz w:val="18"/>
              </w:rPr>
              <w:t xml:space="preserve">[À VALIDER]</w:t>
            </w:r>
          </w:p>
        </w:tc>
        <w:tc>
          <w:tcPr>
            <w:tcW w:w="1083" w:type="dxa"/>
          </w:tcPr>
          <w:p>
            <w:pPr>
              <w:pStyle w:val="Compact"/>
              <w:spacing w:after="20" w:before="20"/>
              <w:jc w:val="left"/>
            </w:pPr>
            <w:r>
              <w:rPr>
                <w:sz w:val="18"/>
              </w:rPr>
              <w:t xml:space="preserve">Best effort</w:t>
            </w:r>
          </w:p>
        </w:tc>
        <w:tc>
          <w:tcPr>
            <w:tcW w:w="1083" w:type="dxa"/>
          </w:tcPr>
          <w:p>
            <w:pPr>
              <w:pStyle w:val="Compact"/>
              <w:spacing w:after="20" w:before="20"/>
              <w:jc w:val="left"/>
            </w:pPr>
            <w:r>
              <w:rPr>
                <w:sz w:val="18"/>
              </w:rPr>
              <w:t xml:space="preserve">Best effort</w:t>
            </w:r>
          </w:p>
        </w:tc>
      </w:tr>
      <w:tr>
        <w:trPr>
          <w:cantSplit w:val="true"/>
        </w:trPr>
        <w:tc>
          <w:tcPr>
            <w:tcW w:w="3114" w:type="dxa"/>
            <w:shd w:val="clear" w:color="auto" w:fill="EEF2F6"/>
          </w:tcPr>
          <w:p>
            <w:pPr>
              <w:pStyle w:val="Compact"/>
              <w:spacing w:after="20" w:before="20"/>
              <w:jc w:val="left"/>
            </w:pPr>
            <w:r>
              <w:rPr>
                <w:sz w:val="18"/>
              </w:rPr>
              <w:t xml:space="preserve">ILG — sauvegardes principales compromises</w:t>
            </w:r>
          </w:p>
        </w:tc>
        <w:tc>
          <w:tcPr>
            <w:tcW w:w="2573" w:type="dxa"/>
            <w:shd w:val="clear" w:color="auto" w:fill="EEF2F6"/>
          </w:tcPr>
          <w:p>
            <w:pPr>
              <w:pStyle w:val="Compact"/>
              <w:spacing w:after="20" w:before="20"/>
              <w:jc w:val="left"/>
            </w:pPr>
            <w:r>
              <w:rPr>
                <w:sz w:val="18"/>
              </w:rPr>
              <w:t xml:space="preserve">Selon disponibilité des copies isolées</w:t>
            </w:r>
          </w:p>
        </w:tc>
        <w:tc>
          <w:tcPr>
            <w:tcW w:w="1557" w:type="dxa"/>
            <w:shd w:val="clear" w:color="auto" w:fill="EEF2F6"/>
          </w:tcPr>
          <w:p>
            <w:pPr>
              <w:pStyle w:val="Compact"/>
              <w:spacing w:after="20" w:before="20"/>
              <w:jc w:val="left"/>
            </w:pPr>
            <w:r>
              <w:rPr>
                <w:sz w:val="18"/>
              </w:rPr>
              <w:t xml:space="preserve">≤ 7 jours</w:t>
            </w:r>
          </w:p>
        </w:tc>
        <w:tc>
          <w:tcPr>
            <w:tcW w:w="1083" w:type="dxa"/>
            <w:shd w:val="clear" w:color="auto" w:fill="EEF2F6"/>
          </w:tcPr>
          <w:p>
            <w:pPr>
              <w:pStyle w:val="Compact"/>
              <w:spacing w:after="20" w:before="20"/>
              <w:jc w:val="left"/>
            </w:pPr>
            <w:r>
              <w:rPr>
                <w:sz w:val="18"/>
              </w:rPr>
              <w:t xml:space="preserve">Best effort</w:t>
            </w:r>
          </w:p>
        </w:tc>
        <w:tc>
          <w:tcPr>
            <w:tcW w:w="1083" w:type="dxa"/>
            <w:shd w:val="clear" w:color="auto" w:fill="EEF2F6"/>
          </w:tcPr>
          <w:p>
            <w:pPr>
              <w:pStyle w:val="Compact"/>
              <w:spacing w:after="20" w:before="20"/>
              <w:jc w:val="left"/>
            </w:pPr>
            <w:r>
              <w:rPr>
                <w:sz w:val="18"/>
              </w:rPr>
              <w:t xml:space="preserve">Best effort</w:t>
            </w:r>
          </w:p>
        </w:tc>
      </w:tr>
      <w:tr>
        <w:trPr>
          <w:cantSplit w:val="true"/>
        </w:trPr>
        <w:tc>
          <w:tcPr>
            <w:tcW w:w="3114" w:type="dxa"/>
          </w:tcPr>
          <w:p>
            <w:pPr>
              <w:pStyle w:val="Compact"/>
              <w:spacing w:after="20" w:before="20"/>
              <w:jc w:val="left"/>
            </w:pPr>
            <w:r>
              <w:rPr>
                <w:sz w:val="18"/>
              </w:rPr>
              <w:t xml:space="preserve">IPG</w:t>
            </w:r>
          </w:p>
        </w:tc>
        <w:tc>
          <w:tcPr>
            <w:tcW w:w="2573" w:type="dxa"/>
          </w:tcPr>
          <w:p>
            <w:pPr>
              <w:pStyle w:val="Compact"/>
              <w:spacing w:after="20" w:before="20"/>
              <w:jc w:val="left"/>
            </w:pPr>
            <w:r>
              <w:rPr>
                <w:sz w:val="18"/>
              </w:rPr>
              <w:t xml:space="preserve">Selon disponibilité des copies isolées</w:t>
            </w:r>
          </w:p>
        </w:tc>
        <w:tc>
          <w:tcPr>
            <w:tcW w:w="1557" w:type="dxa"/>
          </w:tcPr>
          <w:p>
            <w:pPr>
              <w:pStyle w:val="Compact"/>
              <w:spacing w:after="20" w:before="20"/>
              <w:jc w:val="left"/>
            </w:pPr>
            <w:r>
              <w:rPr>
                <w:rStyle w:val="VerbatimChar"/>
                <w:b/>
                <w:color w:val="8A5A00"/>
                <w:sz w:val="18"/>
              </w:rPr>
              <w:t xml:space="preserve">{{…}}</w:t>
            </w:r>
            <w:r>
              <w:rPr>
                <w:sz w:val="18"/>
              </w:rPr>
              <w:t xml:space="preserve"> </w:t>
            </w:r>
            <w:r>
              <w:rPr>
                <w:sz w:val="18"/>
              </w:rPr>
              <w:t xml:space="preserve">(*)</w:t>
            </w:r>
            <w:r>
              <w:rPr>
                <w:sz w:val="18"/>
              </w:rPr>
              <w:t xml:space="preserve"> </w:t>
            </w:r>
            <w:r>
              <w:rPr>
                <w:bCs/>
                <w:b/>
                <w:sz w:val="18"/>
              </w:rPr>
              <w:t xml:space="preserve">[À COMPLÉTER]</w:t>
            </w:r>
          </w:p>
        </w:tc>
        <w:tc>
          <w:tcPr>
            <w:tcW w:w="1083" w:type="dxa"/>
          </w:tcPr>
          <w:p>
            <w:pPr>
              <w:pStyle w:val="Compact"/>
              <w:spacing w:after="20" w:before="20"/>
              <w:jc w:val="left"/>
            </w:pPr>
            <w:r>
              <w:rPr>
                <w:sz w:val="18"/>
              </w:rPr>
              <w:t xml:space="preserve">Best effort</w:t>
            </w:r>
          </w:p>
        </w:tc>
        <w:tc>
          <w:tcPr>
            <w:tcW w:w="1083" w:type="dxa"/>
          </w:tcPr>
          <w:p>
            <w:pPr>
              <w:pStyle w:val="Compact"/>
              <w:spacing w:after="20" w:before="20"/>
              <w:jc w:val="left"/>
            </w:pPr>
            <w:r>
              <w:rPr>
                <w:sz w:val="18"/>
              </w:rPr>
              <w:t xml:space="preserve">Best effort</w:t>
            </w:r>
          </w:p>
        </w:tc>
      </w:tr>
    </w:tbl>
    <w:p>
      <w:pPr>
        <w:pStyle w:val="BodyText"/>
      </w:pPr>
      <w:r>
        <w:t xml:space="preserve">(*) À compter de la mise à disposition des infrastructures matérielles de repli.</w:t>
      </w:r>
      <w:r>
        <w:t xml:space="preserve"> </w:t>
      </w:r>
      <w:r>
        <w:t xml:space="preserve">(**) Sous réserve que l'incident ou le sinistre ait été détecté dans les 24 heures.</w:t>
      </w:r>
      <w:r>
        <w:t xml:space="preserve"> </w:t>
      </w:r>
      <w:r>
        <w:t xml:space="preserve">(***) Mesurée à partir du dernier point de restauration</w:t>
      </w:r>
      <w:r>
        <w:t xml:space="preserve"> </w:t>
      </w:r>
      <w:r>
        <w:rPr>
          <w:bCs/>
          <w:b/>
        </w:rPr>
        <w:t xml:space="preserve">sain</w:t>
      </w:r>
      <w:r>
        <w:t xml:space="preserve">, et non de la dernière sauvegarde réussie.</w:t>
      </w:r>
    </w:p>
    <w:p>
      <w:pPr>
        <w:pStyle w:val="BodyText"/>
      </w:pPr>
      <w:r>
        <w:t xml:space="preserve">⚠</w:t>
      </w:r>
      <w:r>
        <w:t xml:space="preserve"> </w:t>
      </w:r>
      <w:r>
        <w:rPr>
          <w:bCs/>
          <w:b/>
        </w:rPr>
        <w:t xml:space="preserve">Point d'expertise</w:t>
      </w:r>
      <w:r>
        <w:t xml:space="preserve"> </w:t>
      </w:r>
      <w:r>
        <w:t xml:space="preserve">— Une DMIA de 12 heures en ILG n'est réaliste que si les sauvegardes et le socle d'infrastructure sont intacts. Face à un rançongiciel ayant compromis l'annuaire, la reconstruction (socles, identités, analyse des sauvegardes) se compte généralement en jours. Distinguer les deux cas évite de prendre un engagement intenable ; la valeur retenue doit être étayée par un exercice.</w:t>
      </w:r>
    </w:p>
    <w:p>
      <w:pPr>
        <w:pStyle w:val="BodyText"/>
      </w:pPr>
      <w:r>
        <w:rPr>
          <w:bCs/>
          <w:b/>
        </w:rPr>
        <w:t xml:space="preserve">Classes de criticité issues de la BIA (facultatif) [À COMPLÉTER]</w:t>
      </w:r>
      <w:r>
        <w:t xml:space="preserve"> </w:t>
      </w:r>
      <w:r>
        <w:t xml:space="preserve">— Dans les scénarios massifs (ILG, IPG), tout ne peut pas revenir en même temps. Les engagements ci-dessus sont alors déclinés par classe, dans l'ordre de restauration du §9.4.3. L'OGS reste le plancher : aucune classe ne dispose d'un engagement inférieur à celui du contexte auquel elle appartient.</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1230"/>
        <w:gridCol w:w="1978"/>
        <w:gridCol w:w="2661"/>
        <w:gridCol w:w="1972"/>
        <w:gridCol w:w="834"/>
        <w:gridCol w:w="735"/>
      </w:tblGrid>
      <w:tr>
        <w:trPr>
          <w:tblHeader w:val="true"/>
          <w:tblHeader w:val="true"/>
          <w:cantSplit w:val="true"/>
        </w:trPr>
        <w:tc>
          <w:tcPr>
            <w:tcW w:w="1230" w:type="dxa"/>
            <w:shd w:val="clear" w:color="auto" w:fill="1F3A5F"/>
          </w:tcPr>
          <w:p>
            <w:pPr>
              <w:pStyle w:val="Compact"/>
              <w:spacing w:after="20" w:before="20"/>
              <w:jc w:val="left"/>
            </w:pPr>
            <w:r>
              <w:rPr>
                <w:b/>
                <w:color w:val="FFFFFF"/>
                <w:sz w:val="18"/>
              </w:rPr>
              <w:t xml:space="preserve">Classe</w:t>
            </w:r>
          </w:p>
        </w:tc>
        <w:tc>
          <w:tcPr>
            <w:tcW w:w="1978" w:type="dxa"/>
            <w:shd w:val="clear" w:color="auto" w:fill="1F3A5F"/>
          </w:tcPr>
          <w:p>
            <w:pPr>
              <w:pStyle w:val="Compact"/>
              <w:spacing w:after="20" w:before="20"/>
              <w:jc w:val="left"/>
            </w:pPr>
            <w:r>
              <w:rPr>
                <w:b/>
                <w:color w:val="FFFFFF"/>
                <w:sz w:val="18"/>
              </w:rPr>
              <w:t xml:space="preserve">Critère (issu de la BIA)</w:t>
            </w:r>
          </w:p>
        </w:tc>
        <w:tc>
          <w:tcPr>
            <w:tcW w:w="2661" w:type="dxa"/>
            <w:shd w:val="clear" w:color="auto" w:fill="1F3A5F"/>
          </w:tcPr>
          <w:p>
            <w:pPr>
              <w:pStyle w:val="Compact"/>
              <w:spacing w:after="20" w:before="20"/>
              <w:jc w:val="left"/>
            </w:pPr>
            <w:r>
              <w:rPr>
                <w:b/>
                <w:color w:val="FFFFFF"/>
                <w:sz w:val="18"/>
              </w:rPr>
              <w:t xml:space="preserve">Exemples</w:t>
            </w:r>
          </w:p>
        </w:tc>
        <w:tc>
          <w:tcPr>
            <w:tcW w:w="1972" w:type="dxa"/>
            <w:shd w:val="clear" w:color="auto" w:fill="1F3A5F"/>
          </w:tcPr>
          <w:p>
            <w:pPr>
              <w:pStyle w:val="Compact"/>
              <w:spacing w:after="20" w:before="20"/>
              <w:jc w:val="left"/>
            </w:pPr>
            <w:r>
              <w:rPr>
                <w:b/>
                <w:color w:val="FFFFFF"/>
                <w:sz w:val="18"/>
              </w:rPr>
              <w:t xml:space="preserve">Vague de restauration (§9.4.3)</w:t>
            </w:r>
          </w:p>
        </w:tc>
        <w:tc>
          <w:tcPr>
            <w:tcW w:w="834" w:type="dxa"/>
            <w:shd w:val="clear" w:color="auto" w:fill="1F3A5F"/>
          </w:tcPr>
          <w:p>
            <w:pPr>
              <w:pStyle w:val="Compact"/>
              <w:spacing w:after="20" w:before="20"/>
              <w:jc w:val="left"/>
            </w:pPr>
            <w:r>
              <w:rPr>
                <w:b/>
                <w:color w:val="FFFFFF"/>
                <w:sz w:val="18"/>
              </w:rPr>
              <w:t xml:space="preserve">DMIA en ILG</w:t>
            </w:r>
          </w:p>
        </w:tc>
        <w:tc>
          <w:tcPr>
            <w:tcW w:w="735" w:type="dxa"/>
            <w:shd w:val="clear" w:color="auto" w:fill="1F3A5F"/>
          </w:tcPr>
          <w:p>
            <w:pPr>
              <w:pStyle w:val="Compact"/>
              <w:spacing w:after="20" w:before="20"/>
              <w:jc w:val="left"/>
            </w:pPr>
            <w:r>
              <w:rPr>
                <w:b/>
                <w:color w:val="FFFFFF"/>
                <w:sz w:val="18"/>
              </w:rPr>
              <w:t xml:space="preserve">PDMA</w:t>
            </w:r>
          </w:p>
        </w:tc>
      </w:tr>
      <w:tr>
        <w:trPr>
          <w:cantSplit w:val="true"/>
        </w:trPr>
        <w:tc>
          <w:tcPr>
            <w:tcW w:w="1230" w:type="dxa"/>
          </w:tcPr>
          <w:p>
            <w:pPr>
              <w:pStyle w:val="Compact"/>
              <w:spacing w:after="20" w:before="20"/>
              <w:jc w:val="left"/>
            </w:pPr>
            <w:r>
              <w:rPr>
                <w:sz w:val="18"/>
              </w:rPr>
              <w:t xml:space="preserve">1 — Vitale</w:t>
            </w:r>
          </w:p>
        </w:tc>
        <w:tc>
          <w:tcPr>
            <w:tcW w:w="1978" w:type="dxa"/>
          </w:tcPr>
          <w:p>
            <w:pPr>
              <w:pStyle w:val="Compact"/>
              <w:spacing w:after="20" w:before="20"/>
              <w:jc w:val="left"/>
            </w:pPr>
            <w:r>
              <w:rPr>
                <w:sz w:val="18"/>
              </w:rPr>
              <w:t xml:space="preserve">Durée d'interruption tolérable ≤</w:t>
            </w:r>
            <w:r>
              <w:rPr>
                <w:sz w:val="18"/>
              </w:rPr>
              <w:t xml:space="preserve"> </w:t>
            </w:r>
            <w:r>
              <w:rPr>
                <w:rStyle w:val="VerbatimChar"/>
                <w:b/>
                <w:color w:val="8A5A00"/>
                <w:sz w:val="18"/>
              </w:rPr>
              <w:t xml:space="preserve">{{…}}</w:t>
            </w:r>
          </w:p>
        </w:tc>
        <w:tc>
          <w:tcPr>
            <w:tcW w:w="2661" w:type="dxa"/>
          </w:tcPr>
          <w:p>
            <w:pPr>
              <w:pStyle w:val="Compact"/>
              <w:spacing w:after="20" w:before="20"/>
              <w:jc w:val="left"/>
            </w:pPr>
            <w:r>
              <w:rPr>
                <w:iCs/>
                <w:i/>
                <w:sz w:val="18"/>
              </w:rPr>
              <w:t xml:space="preserve">Services d'infrastructure, applications cœur de métier</w:t>
            </w:r>
          </w:p>
        </w:tc>
        <w:tc>
          <w:tcPr>
            <w:tcW w:w="1972" w:type="dxa"/>
          </w:tcPr>
          <w:p>
            <w:pPr>
              <w:pStyle w:val="Compact"/>
              <w:spacing w:after="20" w:before="20"/>
              <w:jc w:val="left"/>
            </w:pPr>
            <w:r>
              <w:rPr>
                <w:sz w:val="18"/>
              </w:rPr>
              <w:t xml:space="preserve">Étapes 0 à 2, puis première vague métier</w:t>
            </w:r>
          </w:p>
        </w:tc>
        <w:tc>
          <w:tcPr>
            <w:tcW w:w="834" w:type="dxa"/>
          </w:tcPr>
          <w:p>
            <w:pPr>
              <w:pStyle w:val="Compact"/>
              <w:spacing w:after="20" w:before="20"/>
              <w:jc w:val="left"/>
            </w:pPr>
            <w:r>
              <w:rPr>
                <w:rStyle w:val="VerbatimChar"/>
                <w:b/>
                <w:color w:val="8A5A00"/>
                <w:sz w:val="18"/>
              </w:rPr>
              <w:t xml:space="preserve">{{…}}</w:t>
            </w:r>
          </w:p>
        </w:tc>
        <w:tc>
          <w:tcPr>
            <w:tcW w:w="735" w:type="dxa"/>
          </w:tcPr>
          <w:p>
            <w:pPr>
              <w:pStyle w:val="Compact"/>
              <w:spacing w:after="20" w:before="20"/>
              <w:jc w:val="left"/>
            </w:pPr>
            <w:r>
              <w:rPr>
                <w:rStyle w:val="VerbatimChar"/>
                <w:b/>
                <w:color w:val="8A5A00"/>
                <w:sz w:val="18"/>
              </w:rPr>
              <w:t xml:space="preserve">{{…}}</w:t>
            </w:r>
          </w:p>
        </w:tc>
      </w:tr>
      <w:tr>
        <w:trPr>
          <w:cantSplit w:val="true"/>
        </w:trPr>
        <w:tc>
          <w:tcPr>
            <w:tcW w:w="1230" w:type="dxa"/>
            <w:shd w:val="clear" w:color="auto" w:fill="EEF2F6"/>
          </w:tcPr>
          <w:p>
            <w:pPr>
              <w:pStyle w:val="Compact"/>
              <w:spacing w:after="20" w:before="20"/>
              <w:jc w:val="left"/>
            </w:pPr>
            <w:r>
              <w:rPr>
                <w:sz w:val="18"/>
              </w:rPr>
              <w:t xml:space="preserve">2 — Critique</w:t>
            </w:r>
          </w:p>
        </w:tc>
        <w:tc>
          <w:tcPr>
            <w:tcW w:w="1978" w:type="dxa"/>
            <w:shd w:val="clear" w:color="auto" w:fill="EEF2F6"/>
          </w:tcPr>
          <w:p>
            <w:pPr>
              <w:pStyle w:val="Compact"/>
              <w:spacing w:after="20" w:before="20"/>
              <w:jc w:val="left"/>
            </w:pPr>
            <w:r>
              <w:rPr>
                <w:sz w:val="18"/>
              </w:rPr>
              <w:t xml:space="preserve">≤</w:t>
            </w:r>
            <w:r>
              <w:rPr>
                <w:sz w:val="18"/>
              </w:rPr>
              <w:t xml:space="preserve"> </w:t>
            </w:r>
            <w:r>
              <w:rPr>
                <w:rStyle w:val="VerbatimChar"/>
                <w:b/>
                <w:color w:val="8A5A00"/>
                <w:sz w:val="18"/>
              </w:rPr>
              <w:t xml:space="preserve">{{…}}</w:t>
            </w:r>
          </w:p>
        </w:tc>
        <w:tc>
          <w:tcPr>
            <w:tcW w:w="2661" w:type="dxa"/>
            <w:shd w:val="clear" w:color="auto" w:fill="EEF2F6"/>
          </w:tcPr>
          <w:p>
            <w:pPr>
              <w:pStyle w:val="Compact"/>
              <w:spacing w:after="20" w:before="20"/>
            </w:pPr>
          </w:p>
        </w:tc>
        <w:tc>
          <w:tcPr>
            <w:tcW w:w="1972" w:type="dxa"/>
            <w:shd w:val="clear" w:color="auto" w:fill="EEF2F6"/>
          </w:tcPr>
          <w:p>
            <w:pPr>
              <w:pStyle w:val="Compact"/>
              <w:spacing w:after="20" w:before="20"/>
              <w:jc w:val="left"/>
            </w:pPr>
            <w:r>
              <w:rPr>
                <w:sz w:val="18"/>
              </w:rPr>
              <w:t xml:space="preserve">Deuxième vague</w:t>
            </w:r>
          </w:p>
        </w:tc>
        <w:tc>
          <w:tcPr>
            <w:tcW w:w="834" w:type="dxa"/>
            <w:shd w:val="clear" w:color="auto" w:fill="EEF2F6"/>
          </w:tcPr>
          <w:p>
            <w:pPr>
              <w:pStyle w:val="Compact"/>
              <w:spacing w:after="20" w:before="20"/>
              <w:jc w:val="left"/>
            </w:pPr>
            <w:r>
              <w:rPr>
                <w:rStyle w:val="VerbatimChar"/>
                <w:b/>
                <w:color w:val="8A5A00"/>
                <w:sz w:val="18"/>
              </w:rPr>
              <w:t xml:space="preserve">{{…}}</w:t>
            </w:r>
          </w:p>
        </w:tc>
        <w:tc>
          <w:tcPr>
            <w:tcW w:w="735" w:type="dxa"/>
            <w:shd w:val="clear" w:color="auto" w:fill="EEF2F6"/>
          </w:tcPr>
          <w:p>
            <w:pPr>
              <w:pStyle w:val="Compact"/>
              <w:spacing w:after="20" w:before="20"/>
              <w:jc w:val="left"/>
            </w:pPr>
            <w:r>
              <w:rPr>
                <w:rStyle w:val="VerbatimChar"/>
                <w:b/>
                <w:color w:val="8A5A00"/>
                <w:sz w:val="18"/>
              </w:rPr>
              <w:t xml:space="preserve">{{…}}</w:t>
            </w:r>
          </w:p>
        </w:tc>
      </w:tr>
      <w:tr>
        <w:trPr>
          <w:cantSplit w:val="true"/>
        </w:trPr>
        <w:tc>
          <w:tcPr>
            <w:tcW w:w="1230" w:type="dxa"/>
          </w:tcPr>
          <w:p>
            <w:pPr>
              <w:pStyle w:val="Compact"/>
              <w:spacing w:after="20" w:before="20"/>
              <w:jc w:val="left"/>
            </w:pPr>
            <w:r>
              <w:rPr>
                <w:sz w:val="18"/>
              </w:rPr>
              <w:t xml:space="preserve">3 — Importante</w:t>
            </w:r>
          </w:p>
        </w:tc>
        <w:tc>
          <w:tcPr>
            <w:tcW w:w="1978" w:type="dxa"/>
          </w:tcPr>
          <w:p>
            <w:pPr>
              <w:pStyle w:val="Compact"/>
              <w:spacing w:after="20" w:before="20"/>
              <w:jc w:val="left"/>
            </w:pPr>
            <w:r>
              <w:rPr>
                <w:sz w:val="18"/>
              </w:rPr>
              <w:t xml:space="preserve">≤</w:t>
            </w:r>
            <w:r>
              <w:rPr>
                <w:sz w:val="18"/>
              </w:rPr>
              <w:t xml:space="preserve"> </w:t>
            </w:r>
            <w:r>
              <w:rPr>
                <w:rStyle w:val="VerbatimChar"/>
                <w:b/>
                <w:color w:val="8A5A00"/>
                <w:sz w:val="18"/>
              </w:rPr>
              <w:t xml:space="preserve">{{…}}</w:t>
            </w:r>
          </w:p>
        </w:tc>
        <w:tc>
          <w:tcPr>
            <w:tcW w:w="2661" w:type="dxa"/>
          </w:tcPr>
          <w:p>
            <w:pPr>
              <w:pStyle w:val="Compact"/>
              <w:spacing w:after="20" w:before="20"/>
            </w:pPr>
          </w:p>
        </w:tc>
        <w:tc>
          <w:tcPr>
            <w:tcW w:w="1972" w:type="dxa"/>
          </w:tcPr>
          <w:p>
            <w:pPr>
              <w:pStyle w:val="Compact"/>
              <w:spacing w:after="20" w:before="20"/>
              <w:jc w:val="left"/>
            </w:pPr>
            <w:r>
              <w:rPr>
                <w:sz w:val="18"/>
              </w:rPr>
              <w:t xml:space="preserve">Troisième vague</w:t>
            </w:r>
          </w:p>
        </w:tc>
        <w:tc>
          <w:tcPr>
            <w:tcW w:w="834" w:type="dxa"/>
          </w:tcPr>
          <w:p>
            <w:pPr>
              <w:pStyle w:val="Compact"/>
              <w:spacing w:after="20" w:before="20"/>
              <w:jc w:val="left"/>
            </w:pPr>
            <w:r>
              <w:rPr>
                <w:rStyle w:val="VerbatimChar"/>
                <w:b/>
                <w:color w:val="8A5A00"/>
                <w:sz w:val="18"/>
              </w:rPr>
              <w:t xml:space="preserve">{{…}}</w:t>
            </w:r>
          </w:p>
        </w:tc>
        <w:tc>
          <w:tcPr>
            <w:tcW w:w="735" w:type="dxa"/>
          </w:tcPr>
          <w:p>
            <w:pPr>
              <w:pStyle w:val="Compact"/>
              <w:spacing w:after="20" w:before="20"/>
              <w:jc w:val="left"/>
            </w:pPr>
            <w:r>
              <w:rPr>
                <w:rStyle w:val="VerbatimChar"/>
                <w:b/>
                <w:color w:val="8A5A00"/>
                <w:sz w:val="18"/>
              </w:rPr>
              <w:t xml:space="preserve">{{…}}</w:t>
            </w:r>
          </w:p>
        </w:tc>
      </w:tr>
      <w:tr>
        <w:trPr>
          <w:cantSplit w:val="true"/>
        </w:trPr>
        <w:tc>
          <w:tcPr>
            <w:tcW w:w="1230" w:type="dxa"/>
            <w:shd w:val="clear" w:color="auto" w:fill="EEF2F6"/>
          </w:tcPr>
          <w:p>
            <w:pPr>
              <w:pStyle w:val="Compact"/>
              <w:spacing w:after="20" w:before="20"/>
              <w:jc w:val="left"/>
            </w:pPr>
            <w:r>
              <w:rPr>
                <w:sz w:val="18"/>
              </w:rPr>
              <w:t xml:space="preserve">4 — Différable</w:t>
            </w:r>
          </w:p>
        </w:tc>
        <w:tc>
          <w:tcPr>
            <w:tcW w:w="1978" w:type="dxa"/>
            <w:shd w:val="clear" w:color="auto" w:fill="EEF2F6"/>
          </w:tcPr>
          <w:p>
            <w:pPr>
              <w:pStyle w:val="Compact"/>
              <w:spacing w:after="20" w:before="20"/>
              <w:jc w:val="left"/>
            </w:pPr>
            <w:r>
              <w:rPr>
                <w:sz w:val="18"/>
              </w:rPr>
              <w:t xml:space="preserve">&gt;</w:t>
            </w:r>
            <w:r>
              <w:rPr>
                <w:sz w:val="18"/>
              </w:rPr>
              <w:t xml:space="preserve"> </w:t>
            </w:r>
            <w:r>
              <w:rPr>
                <w:rStyle w:val="VerbatimChar"/>
                <w:b/>
                <w:color w:val="8A5A00"/>
                <w:sz w:val="18"/>
              </w:rPr>
              <w:t xml:space="preserve">{{…}}</w:t>
            </w:r>
          </w:p>
        </w:tc>
        <w:tc>
          <w:tcPr>
            <w:tcW w:w="2661" w:type="dxa"/>
            <w:shd w:val="clear" w:color="auto" w:fill="EEF2F6"/>
          </w:tcPr>
          <w:p>
            <w:pPr>
              <w:pStyle w:val="Compact"/>
              <w:spacing w:after="20" w:before="20"/>
            </w:pPr>
          </w:p>
        </w:tc>
        <w:tc>
          <w:tcPr>
            <w:tcW w:w="1972" w:type="dxa"/>
            <w:shd w:val="clear" w:color="auto" w:fill="EEF2F6"/>
          </w:tcPr>
          <w:p>
            <w:pPr>
              <w:pStyle w:val="Compact"/>
              <w:spacing w:after="20" w:before="20"/>
              <w:jc w:val="left"/>
            </w:pPr>
            <w:r>
              <w:rPr>
                <w:sz w:val="18"/>
              </w:rPr>
              <w:t xml:space="preserve">Après retour à la normale</w:t>
            </w:r>
          </w:p>
        </w:tc>
        <w:tc>
          <w:tcPr>
            <w:tcW w:w="834" w:type="dxa"/>
            <w:shd w:val="clear" w:color="auto" w:fill="EEF2F6"/>
          </w:tcPr>
          <w:p>
            <w:pPr>
              <w:pStyle w:val="Compact"/>
              <w:spacing w:after="20" w:before="20"/>
              <w:jc w:val="left"/>
            </w:pPr>
            <w:r>
              <w:rPr>
                <w:sz w:val="18"/>
              </w:rPr>
              <w:t xml:space="preserve">Best effort</w:t>
            </w:r>
          </w:p>
        </w:tc>
        <w:tc>
          <w:tcPr>
            <w:tcW w:w="735" w:type="dxa"/>
            <w:shd w:val="clear" w:color="auto" w:fill="EEF2F6"/>
          </w:tcPr>
          <w:p>
            <w:pPr>
              <w:pStyle w:val="Compact"/>
              <w:spacing w:after="20" w:before="20"/>
              <w:jc w:val="left"/>
            </w:pPr>
            <w:r>
              <w:rPr>
                <w:rStyle w:val="VerbatimChar"/>
                <w:b/>
                <w:color w:val="8A5A00"/>
                <w:sz w:val="18"/>
              </w:rPr>
              <w:t xml:space="preserve">{{…}}</w:t>
            </w:r>
          </w:p>
        </w:tc>
      </w:tr>
    </w:tbl>
    <w:p>
      <w:pPr>
        <w:pStyle w:val="BodyText"/>
      </w:pPr>
      <w:r>
        <w:rPr>
          <w:bCs/>
          <w:b/>
        </w:rPr>
        <w:t xml:space="preserve">Contexte de pré-production</w:t>
      </w:r>
      <w:r>
        <w:t xml:space="preserve"> </w:t>
      </w:r>
      <w:r>
        <w:t xml:space="preserve">— Les données sont reconstruites à partir de celles de la PROD et ne sont pas sauvegardées au titre de l'OGS. Les engagements sont ceux du contexte Hors PROD. Un engagement plus contraignant relève d'une Offre Spécifique (§10).</w:t>
      </w:r>
    </w:p>
    <w:bookmarkEnd w:id="98"/>
    <w:bookmarkStart w:id="101" w:name="validation-des-engagements-de-service"/>
    <w:p>
      <w:pPr>
        <w:pStyle w:val="Heading2"/>
      </w:pPr>
      <w:r>
        <w:t xml:space="preserve">9.2 Validation des engagements de service</w:t>
      </w:r>
    </w:p>
    <w:bookmarkStart w:id="99" w:name="X18aecc18e1bfca635b2482b2ca2777216ba107c"/>
    <w:p>
      <w:pPr>
        <w:pStyle w:val="Heading3"/>
      </w:pPr>
      <w:r>
        <w:t xml:space="preserve">9.2.1 Opérabilité des procédures de sauvegarde et de restauration</w:t>
      </w:r>
    </w:p>
    <w:p>
      <w:pPr>
        <w:pStyle w:val="FirstParagraph"/>
      </w:pPr>
      <w:r>
        <w:t xml:space="preserve">L'opérabilité des outils utilisés pour la sauvegarde et la restauration est vérifiée</w:t>
      </w:r>
      <w:r>
        <w:t xml:space="preserve"> </w:t>
      </w:r>
      <w:r>
        <w:rPr>
          <w:bCs/>
          <w:b/>
        </w:rPr>
        <w:t xml:space="preserve">quotidiennement</w:t>
      </w:r>
      <w:r>
        <w:t xml:space="preserve"> </w:t>
      </w:r>
      <w:r>
        <w:t xml:space="preserve">par des procédures « témoin », exécutées avant l'ouverture et après la fermeture du service :</w:t>
      </w:r>
    </w:p>
    <w:p>
      <w:pPr>
        <w:numPr>
          <w:ilvl w:val="0"/>
          <w:numId w:val="1046"/>
        </w:numPr>
        <w:pStyle w:val="Compact"/>
      </w:pPr>
      <w:r>
        <w:t xml:space="preserve">sauvegarde d'objets « témoin » représentatifs de tous les types de données du SI ;</w:t>
      </w:r>
    </w:p>
    <w:p>
      <w:pPr>
        <w:numPr>
          <w:ilvl w:val="0"/>
          <w:numId w:val="1046"/>
        </w:numPr>
        <w:pStyle w:val="Compact"/>
      </w:pPr>
      <w:r>
        <w:t xml:space="preserve">restauration dans un espace de validation (§5.18) ;</w:t>
      </w:r>
    </w:p>
    <w:p>
      <w:pPr>
        <w:numPr>
          <w:ilvl w:val="0"/>
          <w:numId w:val="1046"/>
        </w:numPr>
        <w:pStyle w:val="Compact"/>
      </w:pPr>
      <w:r>
        <w:t xml:space="preserve">comparaison : les objets restaurés doivent être identiques aux objets témoin.</w:t>
      </w:r>
    </w:p>
    <w:p>
      <w:pPr>
        <w:pStyle w:val="FirstParagraph"/>
      </w:pPr>
      <w:r>
        <w:t xml:space="preserve">En cas d'écart, l'efficacité des procédures est suspecte. Il faut alors vérifier l'opérabilité des outils</w:t>
      </w:r>
      <w:r>
        <w:t xml:space="preserve"> </w:t>
      </w:r>
      <w:r>
        <w:rPr>
          <w:bCs/>
          <w:b/>
        </w:rPr>
        <w:t xml:space="preserve">et</w:t>
      </w:r>
      <w:r>
        <w:t xml:space="preserve"> </w:t>
      </w:r>
      <w:r>
        <w:t xml:space="preserve">la validité de toutes les sauvegardes réalisées depuis la dernière exécution témoin valide.</w:t>
      </w:r>
    </w:p>
    <w:p>
      <w:pPr>
        <w:pStyle w:val="BodyText"/>
      </w:pPr>
      <w:r>
        <w:rPr>
          <w:bCs/>
          <w:b/>
        </w:rPr>
        <w:t xml:space="preserve">Compléments recommandés [À VALIDER]</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4457"/>
        <w:gridCol w:w="1527"/>
        <w:gridCol w:w="3427"/>
      </w:tblGrid>
      <w:tr>
        <w:trPr>
          <w:tblHeader w:val="true"/>
          <w:tblHeader w:val="true"/>
          <w:cantSplit w:val="true"/>
        </w:trPr>
        <w:tc>
          <w:tcPr>
            <w:tcW w:w="4457" w:type="dxa"/>
            <w:shd w:val="clear" w:color="auto" w:fill="1F3A5F"/>
          </w:tcPr>
          <w:p>
            <w:pPr>
              <w:pStyle w:val="Compact"/>
              <w:spacing w:after="20" w:before="20"/>
              <w:jc w:val="left"/>
            </w:pPr>
            <w:r>
              <w:rPr>
                <w:b/>
                <w:color w:val="FFFFFF"/>
                <w:sz w:val="18"/>
              </w:rPr>
              <w:t xml:space="preserve">Contrôle</w:t>
            </w:r>
          </w:p>
        </w:tc>
        <w:tc>
          <w:tcPr>
            <w:tcW w:w="1527" w:type="dxa"/>
            <w:shd w:val="clear" w:color="auto" w:fill="1F3A5F"/>
          </w:tcPr>
          <w:p>
            <w:pPr>
              <w:pStyle w:val="Compact"/>
              <w:spacing w:after="20" w:before="20"/>
              <w:jc w:val="left"/>
            </w:pPr>
            <w:r>
              <w:rPr>
                <w:b/>
                <w:color w:val="FFFFFF"/>
                <w:sz w:val="18"/>
              </w:rPr>
              <w:t xml:space="preserve">Fréquence</w:t>
            </w:r>
          </w:p>
        </w:tc>
        <w:tc>
          <w:tcPr>
            <w:tcW w:w="3427" w:type="dxa"/>
            <w:shd w:val="clear" w:color="auto" w:fill="1F3A5F"/>
          </w:tcPr>
          <w:p>
            <w:pPr>
              <w:pStyle w:val="Compact"/>
              <w:spacing w:after="20" w:before="20"/>
              <w:jc w:val="left"/>
            </w:pPr>
            <w:r>
              <w:rPr>
                <w:b/>
                <w:color w:val="FFFFFF"/>
                <w:sz w:val="18"/>
              </w:rPr>
              <w:t xml:space="preserve">Périmètre</w:t>
            </w:r>
          </w:p>
        </w:tc>
      </w:tr>
      <w:tr>
        <w:trPr>
          <w:cantSplit w:val="true"/>
        </w:trPr>
        <w:tc>
          <w:tcPr>
            <w:tcW w:w="4457" w:type="dxa"/>
          </w:tcPr>
          <w:p>
            <w:pPr>
              <w:pStyle w:val="Compact"/>
              <w:spacing w:after="20" w:before="20"/>
              <w:jc w:val="left"/>
            </w:pPr>
            <w:r>
              <w:rPr>
                <w:sz w:val="18"/>
              </w:rPr>
              <w:t xml:space="preserve">Restauration témoin automatisée</w:t>
            </w:r>
          </w:p>
        </w:tc>
        <w:tc>
          <w:tcPr>
            <w:tcW w:w="1527" w:type="dxa"/>
          </w:tcPr>
          <w:p>
            <w:pPr>
              <w:pStyle w:val="Compact"/>
              <w:spacing w:after="20" w:before="20"/>
              <w:jc w:val="left"/>
            </w:pPr>
            <w:r>
              <w:rPr>
                <w:sz w:val="18"/>
              </w:rPr>
              <w:t xml:space="preserve">Quotidienne</w:t>
            </w:r>
          </w:p>
        </w:tc>
        <w:tc>
          <w:tcPr>
            <w:tcW w:w="3427" w:type="dxa"/>
          </w:tcPr>
          <w:p>
            <w:pPr>
              <w:pStyle w:val="Compact"/>
              <w:spacing w:after="20" w:before="20"/>
              <w:jc w:val="left"/>
            </w:pPr>
            <w:r>
              <w:rPr>
                <w:sz w:val="18"/>
              </w:rPr>
              <w:t xml:space="preserve">Échantillon de tous les types de données</w:t>
            </w:r>
          </w:p>
        </w:tc>
      </w:tr>
      <w:tr>
        <w:trPr>
          <w:cantSplit w:val="true"/>
        </w:trPr>
        <w:tc>
          <w:tcPr>
            <w:tcW w:w="4457" w:type="dxa"/>
            <w:shd w:val="clear" w:color="auto" w:fill="EEF2F6"/>
          </w:tcPr>
          <w:p>
            <w:pPr>
              <w:pStyle w:val="Compact"/>
              <w:spacing w:after="20" w:before="20"/>
              <w:jc w:val="left"/>
            </w:pPr>
            <w:r>
              <w:rPr>
                <w:sz w:val="18"/>
              </w:rPr>
              <w:t xml:space="preserve">Restauration applicative complète avec validation fonctionnelle</w:t>
            </w:r>
          </w:p>
        </w:tc>
        <w:tc>
          <w:tcPr>
            <w:tcW w:w="1527" w:type="dxa"/>
            <w:shd w:val="clear" w:color="auto" w:fill="EEF2F6"/>
          </w:tcPr>
          <w:p>
            <w:pPr>
              <w:pStyle w:val="Compact"/>
              <w:spacing w:after="20" w:before="20"/>
              <w:jc w:val="left"/>
            </w:pPr>
            <w:r>
              <w:rPr>
                <w:sz w:val="18"/>
              </w:rPr>
              <w:t xml:space="preserve">Au moins annuelle</w:t>
            </w:r>
          </w:p>
        </w:tc>
        <w:tc>
          <w:tcPr>
            <w:tcW w:w="3427" w:type="dxa"/>
            <w:shd w:val="clear" w:color="auto" w:fill="EEF2F6"/>
          </w:tcPr>
          <w:p>
            <w:pPr>
              <w:pStyle w:val="Compact"/>
              <w:spacing w:after="20" w:before="20"/>
              <w:jc w:val="left"/>
            </w:pPr>
            <w:r>
              <w:rPr>
                <w:sz w:val="18"/>
              </w:rPr>
              <w:t xml:space="preserve">100 % des applications critiques, par rotation</w:t>
            </w:r>
          </w:p>
        </w:tc>
      </w:tr>
      <w:tr>
        <w:trPr>
          <w:cantSplit w:val="true"/>
        </w:trPr>
        <w:tc>
          <w:tcPr>
            <w:tcW w:w="4457" w:type="dxa"/>
          </w:tcPr>
          <w:p>
            <w:pPr>
              <w:pStyle w:val="Compact"/>
              <w:spacing w:after="20" w:before="20"/>
              <w:jc w:val="left"/>
            </w:pPr>
            <w:r>
              <w:rPr>
                <w:sz w:val="18"/>
              </w:rPr>
              <w:t xml:space="preserve">Vérification de lisibilité des copies isolées</w:t>
            </w:r>
          </w:p>
        </w:tc>
        <w:tc>
          <w:tcPr>
            <w:tcW w:w="1527" w:type="dxa"/>
          </w:tcPr>
          <w:p>
            <w:pPr>
              <w:pStyle w:val="Compact"/>
              <w:spacing w:after="20" w:before="20"/>
              <w:jc w:val="left"/>
            </w:pPr>
            <w:r>
              <w:rPr>
                <w:sz w:val="18"/>
              </w:rPr>
              <w:t xml:space="preserve">Trimestrielle</w:t>
            </w:r>
          </w:p>
        </w:tc>
        <w:tc>
          <w:tcPr>
            <w:tcW w:w="3427" w:type="dxa"/>
          </w:tcPr>
          <w:p>
            <w:pPr>
              <w:pStyle w:val="Compact"/>
              <w:spacing w:after="20" w:before="20"/>
              <w:jc w:val="left"/>
            </w:pPr>
            <w:r>
              <w:rPr>
                <w:sz w:val="18"/>
              </w:rPr>
              <w:t xml:space="preserve">Échantillon du coffre</w:t>
            </w:r>
          </w:p>
        </w:tc>
      </w:tr>
      <w:tr>
        <w:trPr>
          <w:cantSplit w:val="true"/>
        </w:trPr>
        <w:tc>
          <w:tcPr>
            <w:tcW w:w="4457" w:type="dxa"/>
            <w:shd w:val="clear" w:color="auto" w:fill="EEF2F6"/>
          </w:tcPr>
          <w:p>
            <w:pPr>
              <w:pStyle w:val="Compact"/>
              <w:spacing w:after="20" w:before="20"/>
              <w:jc w:val="left"/>
            </w:pPr>
            <w:r>
              <w:rPr>
                <w:sz w:val="18"/>
              </w:rPr>
              <w:t xml:space="preserve">Vérification de restauration des clés et secrets</w:t>
            </w:r>
          </w:p>
        </w:tc>
        <w:tc>
          <w:tcPr>
            <w:tcW w:w="1527" w:type="dxa"/>
            <w:shd w:val="clear" w:color="auto" w:fill="EEF2F6"/>
          </w:tcPr>
          <w:p>
            <w:pPr>
              <w:pStyle w:val="Compact"/>
              <w:spacing w:after="20" w:before="20"/>
              <w:jc w:val="left"/>
            </w:pPr>
            <w:r>
              <w:rPr>
                <w:sz w:val="18"/>
              </w:rPr>
              <w:t xml:space="preserve">Semestrielle</w:t>
            </w:r>
          </w:p>
        </w:tc>
        <w:tc>
          <w:tcPr>
            <w:tcW w:w="3427" w:type="dxa"/>
            <w:shd w:val="clear" w:color="auto" w:fill="EEF2F6"/>
          </w:tcPr>
          <w:p>
            <w:pPr>
              <w:pStyle w:val="Compact"/>
              <w:spacing w:after="20" w:before="20"/>
              <w:jc w:val="left"/>
            </w:pPr>
            <w:r>
              <w:rPr>
                <w:sz w:val="18"/>
              </w:rPr>
              <w:t xml:space="preserve">Séquestre des clés de chiffrement</w:t>
            </w:r>
          </w:p>
        </w:tc>
      </w:tr>
    </w:tbl>
    <w:bookmarkEnd w:id="99"/>
    <w:bookmarkStart w:id="100" w:name="X45233da24704da71a72cb5e5e22f92cd1f68954"/>
    <w:p>
      <w:pPr>
        <w:pStyle w:val="Heading3"/>
      </w:pPr>
      <w:r>
        <w:t xml:space="preserve">9.2.2 Opérabilité des scénarios d'indisponibilité</w:t>
      </w:r>
    </w:p>
    <w:p>
      <w:pPr>
        <w:pStyle w:val="FirstParagraph"/>
      </w:pPr>
      <w:r>
        <w:t xml:space="preserve">Validation par des</w:t>
      </w:r>
      <w:r>
        <w:t xml:space="preserve"> </w:t>
      </w:r>
      <w:r>
        <w:rPr>
          <w:bCs/>
          <w:b/>
        </w:rPr>
        <w:t xml:space="preserve">exercices annuels</w:t>
      </w:r>
      <w:r>
        <w:t xml:space="preserve"> </w:t>
      </w:r>
      <w:r>
        <w:t xml:space="preserve">organisés par le RPCI et budgétés l'année précédente.</w:t>
      </w:r>
    </w:p>
    <w:p>
      <w:pPr>
        <w:pStyle w:val="BlockText"/>
      </w:pPr>
      <w:r>
        <w:t xml:space="preserve">Seuls les</w:t>
      </w:r>
      <w:r>
        <w:t xml:space="preserve"> </w:t>
      </w:r>
      <w:r>
        <w:rPr>
          <w:bCs/>
          <w:b/>
        </w:rPr>
        <w:t xml:space="preserve">métiers</w:t>
      </w:r>
      <w:r>
        <w:t xml:space="preserve"> </w:t>
      </w:r>
      <w:r>
        <w:t xml:space="preserve">sont habilités à valider les résultats des exercices éprouvant l'efficacité de la stratégie.</w:t>
      </w:r>
    </w:p>
    <w:p>
      <w:pPr>
        <w:pStyle w:val="FirstParagraph"/>
      </w:pPr>
      <w:r>
        <w:t xml:space="preserve">Ces exercices répondent, le cas échéant, aux obligations réglementaires ou sectorielles de</w:t>
      </w:r>
      <w:r>
        <w:t xml:space="preserve"> </w:t>
      </w:r>
      <w:r>
        <w:rPr>
          <w:rStyle w:val="VerbatimChar"/>
          <w:b/>
          <w:color w:val="8A5A00"/>
        </w:rPr>
        <w:t xml:space="preserve">{{ORGANISATION}}</w:t>
      </w:r>
      <w:r>
        <w:t xml:space="preserve"> </w:t>
      </w:r>
      <w:r>
        <w:t xml:space="preserve">en matière de test annuel du plan de continuité</w:t>
      </w:r>
      <w:r>
        <w:t xml:space="preserve"> </w:t>
      </w:r>
      <w:r>
        <w:rPr>
          <w:bCs/>
          <w:b/>
        </w:rPr>
        <w:t xml:space="preserve">[À COMPLÉTER : textes applicables]</w:t>
      </w:r>
      <w:r>
        <w:t xml:space="preserve">. Ils sont planifiés sur trois mois pour limiter leur impact sur le SI.</w:t>
      </w:r>
      <w:r>
        <w:t xml:space="preserve"> </w:t>
      </w:r>
      <w:r>
        <w:rPr>
          <w:bCs/>
          <w:b/>
        </w:rPr>
        <w:t xml:space="preserve">Principe d'alternance</w:t>
      </w:r>
      <w:r>
        <w:t xml:space="preserve"> </w:t>
      </w:r>
      <w:r>
        <w:t xml:space="preserve">: d'une année sur l'autre, le sinistre simulé porte alternativement sur le site nominal et sur le site de secours, afin d'éprouver les deux sens de bascule.</w:t>
      </w:r>
    </w:p>
    <w:p>
      <w:pPr>
        <w:pStyle w:val="BodyText"/>
      </w:pPr>
      <w:r>
        <w:rPr>
          <w:bCs/>
          <w:b/>
        </w:rPr>
        <w:t xml:space="preserve">Rétroplanning</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568"/>
        <w:gridCol w:w="7843"/>
      </w:tblGrid>
      <w:tr>
        <w:trPr>
          <w:tblHeader w:val="true"/>
          <w:tblHeader w:val="true"/>
          <w:cantSplit w:val="true"/>
        </w:trPr>
        <w:tc>
          <w:tcPr>
            <w:tcW w:w="1568" w:type="dxa"/>
            <w:shd w:val="clear" w:color="auto" w:fill="1F3A5F"/>
          </w:tcPr>
          <w:p>
            <w:pPr>
              <w:pStyle w:val="Compact"/>
              <w:spacing w:after="20" w:before="20"/>
              <w:jc w:val="left"/>
            </w:pPr>
            <w:r>
              <w:rPr>
                <w:b/>
                <w:color w:val="FFFFFF"/>
                <w:sz w:val="18"/>
              </w:rPr>
              <w:t xml:space="preserve">Échéance</w:t>
            </w:r>
          </w:p>
        </w:tc>
        <w:tc>
          <w:tcPr>
            <w:tcW w:w="7843" w:type="dxa"/>
            <w:shd w:val="clear" w:color="auto" w:fill="1F3A5F"/>
          </w:tcPr>
          <w:p>
            <w:pPr>
              <w:pStyle w:val="Compact"/>
              <w:spacing w:after="20" w:before="20"/>
              <w:jc w:val="left"/>
            </w:pPr>
            <w:r>
              <w:rPr>
                <w:b/>
                <w:color w:val="FFFFFF"/>
                <w:sz w:val="18"/>
              </w:rPr>
              <w:t xml:space="preserve">Objectif</w:t>
            </w:r>
          </w:p>
        </w:tc>
      </w:tr>
      <w:tr>
        <w:trPr>
          <w:cantSplit w:val="true"/>
        </w:trPr>
        <w:tc>
          <w:tcPr>
            <w:tcW w:w="1568" w:type="dxa"/>
          </w:tcPr>
          <w:p>
            <w:pPr>
              <w:pStyle w:val="Compact"/>
              <w:spacing w:after="20" w:before="20"/>
              <w:jc w:val="left"/>
            </w:pPr>
            <w:r>
              <w:rPr>
                <w:sz w:val="18"/>
              </w:rPr>
              <w:t xml:space="preserve">J-3 mois</w:t>
            </w:r>
          </w:p>
        </w:tc>
        <w:tc>
          <w:tcPr>
            <w:tcW w:w="7843" w:type="dxa"/>
          </w:tcPr>
          <w:p>
            <w:pPr>
              <w:pStyle w:val="Compact"/>
              <w:spacing w:after="20" w:before="20"/>
              <w:jc w:val="left"/>
            </w:pPr>
            <w:r>
              <w:rPr>
                <w:sz w:val="18"/>
              </w:rPr>
              <w:t xml:space="preserve">Définition du périmètre fonctionnel, validé par le RPCA</w:t>
            </w:r>
          </w:p>
        </w:tc>
      </w:tr>
      <w:tr>
        <w:trPr>
          <w:cantSplit w:val="true"/>
        </w:trPr>
        <w:tc>
          <w:tcPr>
            <w:tcW w:w="1568" w:type="dxa"/>
            <w:shd w:val="clear" w:color="auto" w:fill="EEF2F6"/>
          </w:tcPr>
          <w:p>
            <w:pPr>
              <w:pStyle w:val="Compact"/>
              <w:spacing w:after="20" w:before="20"/>
              <w:jc w:val="left"/>
            </w:pPr>
            <w:r>
              <w:rPr>
                <w:sz w:val="18"/>
              </w:rPr>
              <w:t xml:space="preserve">J-2 mois</w:t>
            </w:r>
          </w:p>
        </w:tc>
        <w:tc>
          <w:tcPr>
            <w:tcW w:w="7843" w:type="dxa"/>
            <w:shd w:val="clear" w:color="auto" w:fill="EEF2F6"/>
          </w:tcPr>
          <w:p>
            <w:pPr>
              <w:pStyle w:val="Compact"/>
              <w:spacing w:after="20" w:before="20"/>
              <w:jc w:val="left"/>
            </w:pPr>
            <w:r>
              <w:rPr>
                <w:sz w:val="18"/>
              </w:rPr>
              <w:t xml:space="preserve">Réunion de préparation d'exercice (§7.3.3)</w:t>
            </w:r>
          </w:p>
        </w:tc>
      </w:tr>
      <w:tr>
        <w:trPr>
          <w:cantSplit w:val="true"/>
        </w:trPr>
        <w:tc>
          <w:tcPr>
            <w:tcW w:w="1568" w:type="dxa"/>
          </w:tcPr>
          <w:p>
            <w:pPr>
              <w:pStyle w:val="Compact"/>
              <w:spacing w:after="20" w:before="20"/>
              <w:jc w:val="left"/>
            </w:pPr>
            <w:r>
              <w:rPr>
                <w:sz w:val="18"/>
              </w:rPr>
              <w:t xml:space="preserve">J-1 mois</w:t>
            </w:r>
          </w:p>
        </w:tc>
        <w:tc>
          <w:tcPr>
            <w:tcW w:w="7843" w:type="dxa"/>
          </w:tcPr>
          <w:p>
            <w:pPr>
              <w:pStyle w:val="Compact"/>
              <w:spacing w:after="20" w:before="20"/>
              <w:jc w:val="left"/>
            </w:pPr>
            <w:r>
              <w:rPr>
                <w:sz w:val="18"/>
              </w:rPr>
              <w:t xml:space="preserve">Préparation et validation de la disponibilité des ressources et de la date</w:t>
            </w:r>
          </w:p>
        </w:tc>
      </w:tr>
      <w:tr>
        <w:trPr>
          <w:cantSplit w:val="true"/>
        </w:trPr>
        <w:tc>
          <w:tcPr>
            <w:tcW w:w="1568" w:type="dxa"/>
            <w:shd w:val="clear" w:color="auto" w:fill="EEF2F6"/>
          </w:tcPr>
          <w:p>
            <w:pPr>
              <w:pStyle w:val="Compact"/>
              <w:spacing w:after="20" w:before="20"/>
              <w:jc w:val="left"/>
            </w:pPr>
            <w:r>
              <w:rPr>
                <w:sz w:val="18"/>
              </w:rPr>
              <w:t xml:space="preserve">J-2 semaines</w:t>
            </w:r>
          </w:p>
        </w:tc>
        <w:tc>
          <w:tcPr>
            <w:tcW w:w="7843" w:type="dxa"/>
            <w:shd w:val="clear" w:color="auto" w:fill="EEF2F6"/>
          </w:tcPr>
          <w:p>
            <w:pPr>
              <w:pStyle w:val="Compact"/>
              <w:spacing w:after="20" w:before="20"/>
              <w:jc w:val="left"/>
            </w:pPr>
            <w:r>
              <w:rPr>
                <w:sz w:val="18"/>
              </w:rPr>
              <w:t xml:space="preserve">Publication du planning prévisionnel des opérations</w:t>
            </w:r>
          </w:p>
        </w:tc>
      </w:tr>
      <w:tr>
        <w:trPr>
          <w:cantSplit w:val="true"/>
        </w:trPr>
        <w:tc>
          <w:tcPr>
            <w:tcW w:w="1568" w:type="dxa"/>
          </w:tcPr>
          <w:p>
            <w:pPr>
              <w:pStyle w:val="Compact"/>
              <w:spacing w:after="20" w:before="20"/>
              <w:jc w:val="left"/>
            </w:pPr>
            <w:r>
              <w:rPr>
                <w:sz w:val="18"/>
              </w:rPr>
              <w:t xml:space="preserve">J-1 semaine</w:t>
            </w:r>
          </w:p>
        </w:tc>
        <w:tc>
          <w:tcPr>
            <w:tcW w:w="7843" w:type="dxa"/>
          </w:tcPr>
          <w:p>
            <w:pPr>
              <w:pStyle w:val="Compact"/>
              <w:spacing w:after="20" w:before="20"/>
              <w:jc w:val="left"/>
            </w:pPr>
            <w:r>
              <w:rPr>
                <w:sz w:val="18"/>
              </w:rPr>
              <w:t xml:space="preserve">Réunion de coordination avec tous les participants</w:t>
            </w:r>
          </w:p>
        </w:tc>
      </w:tr>
      <w:tr>
        <w:trPr>
          <w:cantSplit w:val="true"/>
        </w:trPr>
        <w:tc>
          <w:tcPr>
            <w:tcW w:w="1568" w:type="dxa"/>
            <w:shd w:val="clear" w:color="auto" w:fill="EEF2F6"/>
          </w:tcPr>
          <w:p>
            <w:pPr>
              <w:pStyle w:val="Compact"/>
              <w:spacing w:after="20" w:before="20"/>
              <w:jc w:val="left"/>
            </w:pPr>
            <w:r>
              <w:rPr>
                <w:sz w:val="18"/>
              </w:rPr>
              <w:t xml:space="preserve">J+1 semaine</w:t>
            </w:r>
          </w:p>
        </w:tc>
        <w:tc>
          <w:tcPr>
            <w:tcW w:w="7843" w:type="dxa"/>
            <w:shd w:val="clear" w:color="auto" w:fill="EEF2F6"/>
          </w:tcPr>
          <w:p>
            <w:pPr>
              <w:pStyle w:val="Compact"/>
              <w:spacing w:after="20" w:before="20"/>
              <w:jc w:val="left"/>
            </w:pPr>
            <w:r>
              <w:rPr>
                <w:sz w:val="18"/>
              </w:rPr>
              <w:t xml:space="preserve">Réunion de bilan d'exercice</w:t>
            </w:r>
          </w:p>
        </w:tc>
      </w:tr>
    </w:tbl>
    <w:p>
      <w:pPr>
        <w:pStyle w:val="BodyText"/>
      </w:pPr>
      <w:r>
        <w:rPr>
          <w:bCs/>
          <w:b/>
        </w:rPr>
        <w:t xml:space="preserve">Phases d'un exercice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2" w:type="dxa"/>
        <w:tblLayout w:type="fixed"/>
      </w:tblPr>
      <w:tblGrid>
        <w:gridCol w:w="2172"/>
        <w:gridCol w:w="7240"/>
      </w:tblGrid>
      <w:tr>
        <w:trPr>
          <w:tblHeader w:val="true"/>
          <w:tblHeader w:val="true"/>
          <w:cantSplit w:val="true"/>
        </w:trPr>
        <w:tc>
          <w:tcPr>
            <w:tcW w:w="2172" w:type="dxa"/>
            <w:shd w:val="clear" w:color="auto" w:fill="1F3A5F"/>
          </w:tcPr>
          <w:p>
            <w:pPr>
              <w:pStyle w:val="Compact"/>
              <w:spacing w:after="20" w:before="20"/>
              <w:jc w:val="left"/>
            </w:pPr>
            <w:r>
              <w:rPr>
                <w:b/>
                <w:color w:val="FFFFFF"/>
                <w:sz w:val="18"/>
              </w:rPr>
              <w:t xml:space="preserve">Phase</w:t>
            </w:r>
          </w:p>
        </w:tc>
        <w:tc>
          <w:tcPr>
            <w:tcW w:w="7240" w:type="dxa"/>
            <w:shd w:val="clear" w:color="auto" w:fill="1F3A5F"/>
          </w:tcPr>
          <w:p>
            <w:pPr>
              <w:pStyle w:val="Compact"/>
              <w:spacing w:after="20" w:before="20"/>
              <w:jc w:val="left"/>
            </w:pPr>
            <w:r>
              <w:rPr>
                <w:b/>
                <w:color w:val="FFFFFF"/>
                <w:sz w:val="18"/>
              </w:rPr>
              <w:t xml:space="preserve">Objectif</w:t>
            </w:r>
          </w:p>
        </w:tc>
      </w:tr>
      <w:tr>
        <w:trPr>
          <w:cantSplit w:val="true"/>
        </w:trPr>
        <w:tc>
          <w:tcPr>
            <w:tcW w:w="2172" w:type="dxa"/>
          </w:tcPr>
          <w:p>
            <w:pPr>
              <w:pStyle w:val="Compact"/>
              <w:spacing w:after="20" w:before="20"/>
              <w:jc w:val="left"/>
            </w:pPr>
            <w:r>
              <w:rPr>
                <w:sz w:val="18"/>
              </w:rPr>
              <w:t xml:space="preserve">Préparation</w:t>
            </w:r>
          </w:p>
        </w:tc>
        <w:tc>
          <w:tcPr>
            <w:tcW w:w="7240" w:type="dxa"/>
          </w:tcPr>
          <w:p>
            <w:pPr>
              <w:pStyle w:val="Compact"/>
              <w:spacing w:after="20" w:before="20"/>
              <w:jc w:val="left"/>
            </w:pPr>
            <w:r>
              <w:rPr>
                <w:sz w:val="18"/>
              </w:rPr>
              <w:t xml:space="preserve">Réduire le risque opérationnel lié à l'exercice</w:t>
            </w:r>
          </w:p>
        </w:tc>
      </w:tr>
      <w:tr>
        <w:trPr>
          <w:cantSplit w:val="true"/>
        </w:trPr>
        <w:tc>
          <w:tcPr>
            <w:tcW w:w="2172" w:type="dxa"/>
            <w:shd w:val="clear" w:color="auto" w:fill="EEF2F6"/>
          </w:tcPr>
          <w:p>
            <w:pPr>
              <w:pStyle w:val="Compact"/>
              <w:spacing w:after="20" w:before="20"/>
              <w:jc w:val="left"/>
            </w:pPr>
            <w:r>
              <w:rPr>
                <w:sz w:val="18"/>
              </w:rPr>
              <w:t xml:space="preserve">Bascule « aller »</w:t>
            </w:r>
          </w:p>
        </w:tc>
        <w:tc>
          <w:tcPr>
            <w:tcW w:w="7240" w:type="dxa"/>
            <w:shd w:val="clear" w:color="auto" w:fill="EEF2F6"/>
          </w:tcPr>
          <w:p>
            <w:pPr>
              <w:pStyle w:val="Compact"/>
              <w:spacing w:after="20" w:before="20"/>
              <w:jc w:val="left"/>
            </w:pPr>
            <w:r>
              <w:rPr>
                <w:sz w:val="18"/>
              </w:rPr>
              <w:t xml:space="preserve">Transférer les activités du site à secourir vers le site de secours, dans le respect de la DMIA cible</w:t>
            </w:r>
          </w:p>
        </w:tc>
      </w:tr>
      <w:tr>
        <w:trPr>
          <w:cantSplit w:val="true"/>
        </w:trPr>
        <w:tc>
          <w:tcPr>
            <w:tcW w:w="2172" w:type="dxa"/>
          </w:tcPr>
          <w:p>
            <w:pPr>
              <w:pStyle w:val="Compact"/>
              <w:spacing w:after="20" w:before="20"/>
              <w:jc w:val="left"/>
            </w:pPr>
            <w:r>
              <w:rPr>
                <w:sz w:val="18"/>
              </w:rPr>
              <w:t xml:space="preserve">Mode secours</w:t>
            </w:r>
          </w:p>
        </w:tc>
        <w:tc>
          <w:tcPr>
            <w:tcW w:w="7240" w:type="dxa"/>
          </w:tcPr>
          <w:p>
            <w:pPr>
              <w:pStyle w:val="Compact"/>
              <w:spacing w:after="20" w:before="20"/>
              <w:jc w:val="left"/>
            </w:pPr>
            <w:r>
              <w:rPr>
                <w:sz w:val="18"/>
              </w:rPr>
              <w:t xml:space="preserve">Exécuter l'ensemble des activités sur le site de secours</w:t>
            </w:r>
          </w:p>
        </w:tc>
      </w:tr>
      <w:tr>
        <w:trPr>
          <w:cantSplit w:val="true"/>
        </w:trPr>
        <w:tc>
          <w:tcPr>
            <w:tcW w:w="2172" w:type="dxa"/>
            <w:shd w:val="clear" w:color="auto" w:fill="EEF2F6"/>
          </w:tcPr>
          <w:p>
            <w:pPr>
              <w:pStyle w:val="Compact"/>
              <w:spacing w:after="20" w:before="20"/>
              <w:jc w:val="left"/>
            </w:pPr>
            <w:r>
              <w:rPr>
                <w:sz w:val="18"/>
              </w:rPr>
              <w:t xml:space="preserve">Bascule « retour »</w:t>
            </w:r>
          </w:p>
        </w:tc>
        <w:tc>
          <w:tcPr>
            <w:tcW w:w="7240" w:type="dxa"/>
            <w:shd w:val="clear" w:color="auto" w:fill="EEF2F6"/>
          </w:tcPr>
          <w:p>
            <w:pPr>
              <w:pStyle w:val="Compact"/>
              <w:spacing w:after="20" w:before="20"/>
              <w:jc w:val="left"/>
            </w:pPr>
            <w:r>
              <w:rPr>
                <w:sz w:val="18"/>
              </w:rPr>
              <w:t xml:space="preserve">Redémarrer les activités de production en mode nominal</w:t>
            </w:r>
          </w:p>
        </w:tc>
      </w:tr>
      <w:tr>
        <w:trPr>
          <w:cantSplit w:val="true"/>
        </w:trPr>
        <w:tc>
          <w:tcPr>
            <w:tcW w:w="2172" w:type="dxa"/>
          </w:tcPr>
          <w:p>
            <w:pPr>
              <w:pStyle w:val="Compact"/>
              <w:spacing w:after="20" w:before="20"/>
              <w:jc w:val="left"/>
            </w:pPr>
            <w:r>
              <w:rPr>
                <w:sz w:val="18"/>
              </w:rPr>
              <w:t xml:space="preserve">Finalisation</w:t>
            </w:r>
          </w:p>
        </w:tc>
        <w:tc>
          <w:tcPr>
            <w:tcW w:w="7240" w:type="dxa"/>
          </w:tcPr>
          <w:p>
            <w:pPr>
              <w:pStyle w:val="Compact"/>
              <w:spacing w:after="20" w:before="20"/>
              <w:jc w:val="left"/>
            </w:pPr>
            <w:r>
              <w:rPr>
                <w:sz w:val="18"/>
              </w:rPr>
              <w:t xml:space="preserve">Rétablir le fonctionnement nominal de tous les environnements</w:t>
            </w:r>
          </w:p>
        </w:tc>
      </w:tr>
    </w:tbl>
    <w:p>
      <w:pPr>
        <w:pStyle w:val="BodyText"/>
      </w:pPr>
      <w:r>
        <w:rPr>
          <w:bCs/>
          <w:b/>
        </w:rPr>
        <w:t xml:space="preserve">Deux niveaux d'épreuve [À VALIDER]</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2151"/>
        <w:gridCol w:w="4033"/>
        <w:gridCol w:w="3226"/>
      </w:tblGrid>
      <w:tr>
        <w:trPr>
          <w:tblHeader w:val="true"/>
          <w:tblHeader w:val="true"/>
          <w:cantSplit w:val="true"/>
        </w:trPr>
        <w:tc>
          <w:tcPr>
            <w:tcW w:w="2151" w:type="dxa"/>
            <w:shd w:val="clear" w:color="auto" w:fill="1F3A5F"/>
          </w:tcPr>
          <w:p>
            <w:pPr>
              <w:pStyle w:val="Compact"/>
              <w:spacing w:after="20" w:before="20"/>
              <w:jc w:val="left"/>
            </w:pPr>
            <w:r>
              <w:rPr>
                <w:b/>
                <w:color w:val="FFFFFF"/>
                <w:sz w:val="18"/>
              </w:rPr>
              <w:t xml:space="preserve">Niveau</w:t>
            </w:r>
          </w:p>
        </w:tc>
        <w:tc>
          <w:tcPr>
            <w:tcW w:w="4033" w:type="dxa"/>
            <w:shd w:val="clear" w:color="auto" w:fill="1F3A5F"/>
          </w:tcPr>
          <w:p>
            <w:pPr>
              <w:pStyle w:val="Compact"/>
              <w:spacing w:after="20" w:before="20"/>
              <w:jc w:val="left"/>
            </w:pPr>
            <w:r>
              <w:rPr>
                <w:b/>
                <w:color w:val="FFFFFF"/>
                <w:sz w:val="18"/>
              </w:rPr>
              <w:t xml:space="preserve">Contenu</w:t>
            </w:r>
          </w:p>
        </w:tc>
        <w:tc>
          <w:tcPr>
            <w:tcW w:w="3226" w:type="dxa"/>
            <w:shd w:val="clear" w:color="auto" w:fill="1F3A5F"/>
          </w:tcPr>
          <w:p>
            <w:pPr>
              <w:pStyle w:val="Compact"/>
              <w:spacing w:after="20" w:before="20"/>
              <w:jc w:val="left"/>
            </w:pPr>
            <w:r>
              <w:rPr>
                <w:b/>
                <w:color w:val="FFFFFF"/>
                <w:sz w:val="18"/>
              </w:rPr>
              <w:t xml:space="preserve">Fréquence</w:t>
            </w:r>
          </w:p>
        </w:tc>
      </w:tr>
      <w:tr>
        <w:trPr>
          <w:cantSplit w:val="true"/>
        </w:trPr>
        <w:tc>
          <w:tcPr>
            <w:tcW w:w="2151" w:type="dxa"/>
          </w:tcPr>
          <w:p>
            <w:pPr>
              <w:pStyle w:val="Compact"/>
              <w:spacing w:after="20" w:before="20"/>
              <w:jc w:val="left"/>
            </w:pPr>
            <w:r>
              <w:rPr>
                <w:sz w:val="18"/>
              </w:rPr>
              <w:t xml:space="preserve">Tests techniques par scénario</w:t>
            </w:r>
          </w:p>
        </w:tc>
        <w:tc>
          <w:tcPr>
            <w:tcW w:w="4033" w:type="dxa"/>
          </w:tcPr>
          <w:p>
            <w:pPr>
              <w:pStyle w:val="Compact"/>
              <w:spacing w:after="20" w:before="20"/>
              <w:jc w:val="left"/>
            </w:pPr>
            <w:r>
              <w:rPr>
                <w:sz w:val="18"/>
              </w:rPr>
              <w:t xml:space="preserve">Les épreuves décrites à la ligne « Éprouver le dispositif » de chaque scénario (§8.2 à §8.5) : bascule, restauration depuis le coffre, reconstruction de l'annuaire et d'une application critique</w:t>
            </w:r>
          </w:p>
        </w:tc>
        <w:tc>
          <w:tcPr>
            <w:tcW w:w="3226" w:type="dxa"/>
          </w:tcPr>
          <w:p>
            <w:pPr>
              <w:pStyle w:val="Compact"/>
              <w:spacing w:after="20" w:before="20"/>
              <w:jc w:val="left"/>
            </w:pPr>
            <w:r>
              <w:rPr>
                <w:sz w:val="18"/>
              </w:rPr>
              <w:t xml:space="preserve">Annuelle pour chaque scénario</w:t>
            </w:r>
          </w:p>
        </w:tc>
      </w:tr>
      <w:tr>
        <w:trPr>
          <w:cantSplit w:val="true"/>
        </w:trPr>
        <w:tc>
          <w:tcPr>
            <w:tcW w:w="2151" w:type="dxa"/>
            <w:shd w:val="clear" w:color="auto" w:fill="EEF2F6"/>
          </w:tcPr>
          <w:p>
            <w:pPr>
              <w:pStyle w:val="Compact"/>
              <w:spacing w:after="20" w:before="20"/>
              <w:jc w:val="left"/>
            </w:pPr>
            <w:r>
              <w:rPr>
                <w:sz w:val="18"/>
              </w:rPr>
              <w:t xml:space="preserve">Exercice majeur avec les métiers</w:t>
            </w:r>
          </w:p>
        </w:tc>
        <w:tc>
          <w:tcPr>
            <w:tcW w:w="4033" w:type="dxa"/>
            <w:shd w:val="clear" w:color="auto" w:fill="EEF2F6"/>
          </w:tcPr>
          <w:p>
            <w:pPr>
              <w:pStyle w:val="Compact"/>
              <w:spacing w:after="20" w:before="20"/>
              <w:jc w:val="left"/>
            </w:pPr>
            <w:r>
              <w:rPr>
                <w:sz w:val="18"/>
              </w:rPr>
              <w:t xml:space="preserve">Un scénario par an, en rotation : bascule de site (IPP), restauration massive (ILP massive), cyber-reconstruction depuis les copies isolées (ILG), exercice de crise sur table (IPG)</w:t>
            </w:r>
          </w:p>
        </w:tc>
        <w:tc>
          <w:tcPr>
            <w:tcW w:w="3226" w:type="dxa"/>
            <w:shd w:val="clear" w:color="auto" w:fill="EEF2F6"/>
          </w:tcPr>
          <w:p>
            <w:pPr>
              <w:pStyle w:val="Compact"/>
              <w:spacing w:after="20" w:before="20"/>
              <w:jc w:val="left"/>
            </w:pPr>
            <w:r>
              <w:rPr>
                <w:sz w:val="18"/>
              </w:rPr>
              <w:t xml:space="preserve">Annuel, scénario ILG au moins une année sur deux</w:t>
            </w:r>
          </w:p>
        </w:tc>
      </w:tr>
    </w:tbl>
    <w:p>
      <w:pPr>
        <w:pStyle w:val="BodyText"/>
      </w:pPr>
      <w:r>
        <w:rPr>
          <w:bCs/>
          <w:b/>
        </w:rPr>
        <w:t xml:space="preserve">Exigences applicables à chaque exercice</w:t>
      </w:r>
      <w:r>
        <w:t xml:space="preserve"> </w:t>
      </w:r>
      <w:r>
        <w:rPr>
          <w:iCs/>
          <w:i/>
        </w:rPr>
        <w:t xml:space="preserve">(ajout, d'après ISO 22301 § 8.5)</w:t>
      </w:r>
      <w:r>
        <w:t xml:space="preserve"> </w:t>
      </w:r>
      <w:r>
        <w:t xml:space="preserve">:</w:t>
      </w:r>
    </w:p>
    <w:p>
      <w:pPr>
        <w:numPr>
          <w:ilvl w:val="0"/>
          <w:numId w:val="1047"/>
        </w:numPr>
        <w:pStyle w:val="Compact"/>
      </w:pPr>
      <w:r>
        <w:t xml:space="preserve">objectifs et critères de réussite fixés et validés</w:t>
      </w:r>
      <w:r>
        <w:t xml:space="preserve"> </w:t>
      </w:r>
      <w:r>
        <w:rPr>
          <w:bCs/>
          <w:b/>
        </w:rPr>
        <w:t xml:space="preserve">avant</w:t>
      </w:r>
      <w:r>
        <w:t xml:space="preserve"> </w:t>
      </w:r>
      <w:r>
        <w:t xml:space="preserve">l'exercice (DMIA et PDMA cibles, périmètre, conditions d'arrêt) ;</w:t>
      </w:r>
    </w:p>
    <w:p>
      <w:pPr>
        <w:numPr>
          <w:ilvl w:val="0"/>
          <w:numId w:val="1047"/>
        </w:numPr>
        <w:pStyle w:val="Compact"/>
      </w:pPr>
      <w:r>
        <w:t xml:space="preserve">rapport formalisé après l'exercice : résultats mesurés, écarts, actions correctives (§7.3.3, réunion de bilan) ;</w:t>
      </w:r>
    </w:p>
    <w:p>
      <w:pPr>
        <w:numPr>
          <w:ilvl w:val="0"/>
          <w:numId w:val="1047"/>
        </w:numPr>
        <w:pStyle w:val="Compact"/>
      </w:pPr>
      <w:r>
        <w:t xml:space="preserve">exercice complémentaire après tout changement significatif du SI ou de l'organisation (§7.5).</w:t>
      </w:r>
    </w:p>
    <w:bookmarkEnd w:id="100"/>
    <w:bookmarkEnd w:id="101"/>
    <w:bookmarkStart w:id="102" w:name="sécurisation-des-données"/>
    <w:p>
      <w:pPr>
        <w:pStyle w:val="Heading2"/>
      </w:pPr>
      <w:r>
        <w:t xml:space="preserve">9.3 Sécurisation des données</w:t>
      </w:r>
    </w:p>
    <w:p>
      <w:pPr>
        <w:pStyle w:val="FirstParagraph"/>
      </w:pPr>
      <w:r>
        <w:t xml:space="preserve">L'ensemble des données de</w:t>
      </w:r>
      <w:r>
        <w:t xml:space="preserve"> </w:t>
      </w:r>
      <w:r>
        <w:rPr>
          <w:rStyle w:val="VerbatimChar"/>
          <w:b/>
          <w:color w:val="8A5A00"/>
        </w:rPr>
        <w:t xml:space="preserve">{{ORGANISATION}}</w:t>
      </w:r>
      <w:r>
        <w:t xml:space="preserve"> </w:t>
      </w:r>
      <w:r>
        <w:t xml:space="preserve">est sécurisé selon le plan de sauvegarde décrit par deux tableaux et deux schémas</w:t>
      </w:r>
      <w:r>
        <w:t xml:space="preserve"> </w:t>
      </w:r>
      <w:r>
        <w:rPr>
          <w:bCs/>
          <w:b/>
        </w:rPr>
        <w:t xml:space="preserve">[À COMPLÉTER]</w:t>
      </w:r>
      <w:r>
        <w:t xml:space="preserve">.</w:t>
      </w:r>
    </w:p>
    <w:p>
      <w:pPr>
        <w:pStyle w:val="BodyText"/>
      </w:pPr>
      <w:r>
        <w:rPr>
          <w:bCs/>
          <w:b/>
        </w:rPr>
        <w:t xml:space="preserve">Tableau 1 — Couverture par type de données.</w:t>
      </w:r>
      <w:r>
        <w:t xml:space="preserve"> </w:t>
      </w:r>
      <w:r>
        <w:t xml:space="preserve">Pour chaque type de données, selon son lieu d'hébergement (sur site ou externalisé) et son contexte (PROD, Hors PROD) : origine, sauvegardes, type de donnée morte produite, utilité.</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1867"/>
        <w:gridCol w:w="1329"/>
        <w:gridCol w:w="1032"/>
        <w:gridCol w:w="2374"/>
        <w:gridCol w:w="1557"/>
        <w:gridCol w:w="1251"/>
      </w:tblGrid>
      <w:tr>
        <w:trPr>
          <w:tblHeader w:val="true"/>
          <w:tblHeader w:val="true"/>
          <w:cantSplit w:val="true"/>
        </w:trPr>
        <w:tc>
          <w:tcPr>
            <w:tcW w:w="1867" w:type="dxa"/>
            <w:shd w:val="clear" w:color="auto" w:fill="1F3A5F"/>
          </w:tcPr>
          <w:p>
            <w:pPr>
              <w:pStyle w:val="Compact"/>
              <w:spacing w:after="20" w:before="20"/>
              <w:jc w:val="left"/>
            </w:pPr>
            <w:r>
              <w:rPr>
                <w:b/>
                <w:color w:val="FFFFFF"/>
                <w:sz w:val="18"/>
              </w:rPr>
              <w:t xml:space="preserve">Type de données</w:t>
            </w:r>
          </w:p>
        </w:tc>
        <w:tc>
          <w:tcPr>
            <w:tcW w:w="1329" w:type="dxa"/>
            <w:shd w:val="clear" w:color="auto" w:fill="1F3A5F"/>
          </w:tcPr>
          <w:p>
            <w:pPr>
              <w:pStyle w:val="Compact"/>
              <w:spacing w:after="20" w:before="20"/>
              <w:jc w:val="left"/>
            </w:pPr>
            <w:r>
              <w:rPr>
                <w:b/>
                <w:color w:val="FFFFFF"/>
                <w:sz w:val="18"/>
              </w:rPr>
              <w:t xml:space="preserve">Hébergement</w:t>
            </w:r>
          </w:p>
        </w:tc>
        <w:tc>
          <w:tcPr>
            <w:tcW w:w="1032" w:type="dxa"/>
            <w:shd w:val="clear" w:color="auto" w:fill="1F3A5F"/>
          </w:tcPr>
          <w:p>
            <w:pPr>
              <w:pStyle w:val="Compact"/>
              <w:spacing w:after="20" w:before="20"/>
              <w:jc w:val="left"/>
            </w:pPr>
            <w:r>
              <w:rPr>
                <w:b/>
                <w:color w:val="FFFFFF"/>
                <w:sz w:val="18"/>
              </w:rPr>
              <w:t xml:space="preserve">Contexte</w:t>
            </w:r>
          </w:p>
        </w:tc>
        <w:tc>
          <w:tcPr>
            <w:tcW w:w="2374" w:type="dxa"/>
            <w:shd w:val="clear" w:color="auto" w:fill="1F3A5F"/>
          </w:tcPr>
          <w:p>
            <w:pPr>
              <w:pStyle w:val="Compact"/>
              <w:spacing w:after="20" w:before="20"/>
              <w:jc w:val="left"/>
            </w:pPr>
            <w:r>
              <w:rPr>
                <w:b/>
                <w:color w:val="FFFFFF"/>
                <w:sz w:val="18"/>
              </w:rPr>
              <w:t xml:space="preserve">Sauvegardes appliquées</w:t>
            </w:r>
          </w:p>
        </w:tc>
        <w:tc>
          <w:tcPr>
            <w:tcW w:w="1557" w:type="dxa"/>
            <w:shd w:val="clear" w:color="auto" w:fill="1F3A5F"/>
          </w:tcPr>
          <w:p>
            <w:pPr>
              <w:pStyle w:val="Compact"/>
              <w:spacing w:after="20" w:before="20"/>
              <w:jc w:val="left"/>
            </w:pPr>
            <w:r>
              <w:rPr>
                <w:b/>
                <w:color w:val="FFFFFF"/>
                <w:sz w:val="18"/>
              </w:rPr>
              <w:t xml:space="preserve">Données mortes produites</w:t>
            </w:r>
          </w:p>
        </w:tc>
        <w:tc>
          <w:tcPr>
            <w:tcW w:w="1251" w:type="dxa"/>
            <w:shd w:val="clear" w:color="auto" w:fill="1F3A5F"/>
          </w:tcPr>
          <w:p>
            <w:pPr>
              <w:pStyle w:val="Compact"/>
              <w:spacing w:after="20" w:before="20"/>
              <w:jc w:val="left"/>
            </w:pPr>
            <w:r>
              <w:rPr>
                <w:b/>
                <w:color w:val="FFFFFF"/>
                <w:sz w:val="18"/>
              </w:rPr>
              <w:t xml:space="preserve">Utilité (scénario couvert)</w:t>
            </w:r>
          </w:p>
        </w:tc>
      </w:tr>
      <w:tr>
        <w:trPr>
          <w:cantSplit w:val="true"/>
        </w:trPr>
        <w:tc>
          <w:tcPr>
            <w:tcW w:w="1867" w:type="dxa"/>
          </w:tcPr>
          <w:p>
            <w:pPr>
              <w:pStyle w:val="Compact"/>
              <w:spacing w:after="20" w:before="20"/>
              <w:jc w:val="left"/>
            </w:pPr>
            <w:r>
              <w:rPr>
                <w:iCs/>
                <w:i/>
                <w:sz w:val="18"/>
              </w:rPr>
              <w:t xml:space="preserve">Ex. base de données transactionnelle</w:t>
            </w:r>
          </w:p>
        </w:tc>
        <w:tc>
          <w:tcPr>
            <w:tcW w:w="1329" w:type="dxa"/>
          </w:tcPr>
          <w:p>
            <w:pPr>
              <w:pStyle w:val="Compact"/>
              <w:spacing w:after="20" w:before="20"/>
              <w:jc w:val="left"/>
            </w:pPr>
            <w:r>
              <w:rPr>
                <w:sz w:val="18"/>
              </w:rPr>
              <w:t xml:space="preserve">Sur site</w:t>
            </w:r>
          </w:p>
        </w:tc>
        <w:tc>
          <w:tcPr>
            <w:tcW w:w="1032" w:type="dxa"/>
          </w:tcPr>
          <w:p>
            <w:pPr>
              <w:pStyle w:val="Compact"/>
              <w:spacing w:after="20" w:before="20"/>
              <w:jc w:val="left"/>
            </w:pPr>
            <w:r>
              <w:rPr>
                <w:sz w:val="18"/>
              </w:rPr>
              <w:t xml:space="preserve">PROD</w:t>
            </w:r>
          </w:p>
        </w:tc>
        <w:tc>
          <w:tcPr>
            <w:tcW w:w="2374" w:type="dxa"/>
          </w:tcPr>
          <w:p>
            <w:pPr>
              <w:pStyle w:val="Compact"/>
              <w:spacing w:after="20" w:before="20"/>
              <w:jc w:val="left"/>
            </w:pPr>
            <w:r>
              <w:rPr>
                <w:iCs/>
                <w:i/>
                <w:sz w:val="18"/>
              </w:rPr>
              <w:t xml:space="preserve">Réplication synchrone · journalisation · incrémentale quotidienne · copie isolée hebdomadaire</w:t>
            </w:r>
          </w:p>
        </w:tc>
        <w:tc>
          <w:tcPr>
            <w:tcW w:w="1557" w:type="dxa"/>
          </w:tcPr>
          <w:p>
            <w:pPr>
              <w:pStyle w:val="Compact"/>
              <w:spacing w:after="20" w:before="20"/>
              <w:jc w:val="left"/>
            </w:pPr>
            <w:r>
              <w:rPr>
                <w:iCs/>
                <w:i/>
                <w:sz w:val="18"/>
              </w:rPr>
              <w:t xml:space="preserve">Synchrones · asynchrones · isolées</w:t>
            </w:r>
          </w:p>
        </w:tc>
        <w:tc>
          <w:tcPr>
            <w:tcW w:w="1251" w:type="dxa"/>
          </w:tcPr>
          <w:p>
            <w:pPr>
              <w:pStyle w:val="Compact"/>
              <w:spacing w:after="20" w:before="20"/>
              <w:jc w:val="left"/>
            </w:pPr>
            <w:r>
              <w:rPr>
                <w:iCs/>
                <w:i/>
                <w:sz w:val="18"/>
              </w:rPr>
              <w:t xml:space="preserve">IPP · ILP · ILG</w:t>
            </w:r>
          </w:p>
        </w:tc>
      </w:tr>
      <w:tr>
        <w:trPr>
          <w:cantSplit w:val="true"/>
        </w:trPr>
        <w:tc>
          <w:tcPr>
            <w:tcW w:w="1867" w:type="dxa"/>
            <w:shd w:val="clear" w:color="auto" w:fill="EEF2F6"/>
          </w:tcPr>
          <w:p>
            <w:pPr>
              <w:pStyle w:val="Compact"/>
              <w:spacing w:after="20" w:before="20"/>
              <w:jc w:val="left"/>
            </w:pPr>
            <w:r>
              <w:rPr>
                <w:iCs/>
                <w:i/>
                <w:sz w:val="18"/>
              </w:rPr>
              <w:t xml:space="preserve">Ex. serveur de fichiers</w:t>
            </w:r>
          </w:p>
        </w:tc>
        <w:tc>
          <w:tcPr>
            <w:tcW w:w="1329" w:type="dxa"/>
            <w:shd w:val="clear" w:color="auto" w:fill="EEF2F6"/>
          </w:tcPr>
          <w:p>
            <w:pPr>
              <w:pStyle w:val="Compact"/>
              <w:spacing w:after="20" w:before="20"/>
              <w:jc w:val="left"/>
            </w:pPr>
            <w:r>
              <w:rPr>
                <w:sz w:val="18"/>
              </w:rPr>
              <w:t xml:space="preserve">Sur site</w:t>
            </w:r>
          </w:p>
        </w:tc>
        <w:tc>
          <w:tcPr>
            <w:tcW w:w="1032" w:type="dxa"/>
            <w:shd w:val="clear" w:color="auto" w:fill="EEF2F6"/>
          </w:tcPr>
          <w:p>
            <w:pPr>
              <w:pStyle w:val="Compact"/>
              <w:spacing w:after="20" w:before="20"/>
              <w:jc w:val="left"/>
            </w:pPr>
            <w:r>
              <w:rPr>
                <w:sz w:val="18"/>
              </w:rPr>
              <w:t xml:space="preserve">PROD</w:t>
            </w:r>
          </w:p>
        </w:tc>
        <w:tc>
          <w:tcPr>
            <w:tcW w:w="2374" w:type="dxa"/>
            <w:shd w:val="clear" w:color="auto" w:fill="EEF2F6"/>
          </w:tcPr>
          <w:p>
            <w:pPr>
              <w:pStyle w:val="Compact"/>
              <w:spacing w:after="20" w:before="20"/>
            </w:pPr>
          </w:p>
        </w:tc>
        <w:tc>
          <w:tcPr>
            <w:tcW w:w="1557" w:type="dxa"/>
            <w:shd w:val="clear" w:color="auto" w:fill="EEF2F6"/>
          </w:tcPr>
          <w:p>
            <w:pPr>
              <w:pStyle w:val="Compact"/>
              <w:spacing w:after="20" w:before="20"/>
            </w:pPr>
          </w:p>
        </w:tc>
        <w:tc>
          <w:tcPr>
            <w:tcW w:w="1251" w:type="dxa"/>
            <w:shd w:val="clear" w:color="auto" w:fill="EEF2F6"/>
          </w:tcPr>
          <w:p>
            <w:pPr>
              <w:pStyle w:val="Compact"/>
              <w:spacing w:after="20" w:before="20"/>
            </w:pPr>
          </w:p>
        </w:tc>
      </w:tr>
      <w:tr>
        <w:trPr>
          <w:cantSplit w:val="true"/>
        </w:trPr>
        <w:tc>
          <w:tcPr>
            <w:tcW w:w="1867" w:type="dxa"/>
          </w:tcPr>
          <w:p>
            <w:pPr>
              <w:pStyle w:val="Compact"/>
              <w:spacing w:after="20" w:before="20"/>
              <w:jc w:val="left"/>
            </w:pPr>
            <w:r>
              <w:rPr>
                <w:iCs/>
                <w:i/>
                <w:sz w:val="18"/>
              </w:rPr>
              <w:t xml:space="preserve">Ex. messagerie SaaS</w:t>
            </w:r>
          </w:p>
        </w:tc>
        <w:tc>
          <w:tcPr>
            <w:tcW w:w="1329" w:type="dxa"/>
          </w:tcPr>
          <w:p>
            <w:pPr>
              <w:pStyle w:val="Compact"/>
              <w:spacing w:after="20" w:before="20"/>
              <w:jc w:val="left"/>
            </w:pPr>
            <w:r>
              <w:rPr>
                <w:sz w:val="18"/>
              </w:rPr>
              <w:t xml:space="preserve">Externalisé</w:t>
            </w:r>
          </w:p>
        </w:tc>
        <w:tc>
          <w:tcPr>
            <w:tcW w:w="1032" w:type="dxa"/>
          </w:tcPr>
          <w:p>
            <w:pPr>
              <w:pStyle w:val="Compact"/>
              <w:spacing w:after="20" w:before="20"/>
              <w:jc w:val="left"/>
            </w:pPr>
            <w:r>
              <w:rPr>
                <w:sz w:val="18"/>
              </w:rPr>
              <w:t xml:space="preserve">PROD</w:t>
            </w:r>
          </w:p>
        </w:tc>
        <w:tc>
          <w:tcPr>
            <w:tcW w:w="2374" w:type="dxa"/>
          </w:tcPr>
          <w:p>
            <w:pPr>
              <w:pStyle w:val="Compact"/>
              <w:spacing w:after="20" w:before="20"/>
            </w:pPr>
          </w:p>
        </w:tc>
        <w:tc>
          <w:tcPr>
            <w:tcW w:w="1557" w:type="dxa"/>
          </w:tcPr>
          <w:p>
            <w:pPr>
              <w:pStyle w:val="Compact"/>
              <w:spacing w:after="20" w:before="20"/>
            </w:pPr>
          </w:p>
        </w:tc>
        <w:tc>
          <w:tcPr>
            <w:tcW w:w="1251" w:type="dxa"/>
          </w:tcPr>
          <w:p>
            <w:pPr>
              <w:pStyle w:val="Compact"/>
              <w:spacing w:after="20" w:before="20"/>
            </w:pPr>
          </w:p>
        </w:tc>
      </w:tr>
      <w:tr>
        <w:trPr>
          <w:cantSplit w:val="true"/>
        </w:trPr>
        <w:tc>
          <w:tcPr>
            <w:tcW w:w="1867" w:type="dxa"/>
            <w:shd w:val="clear" w:color="auto" w:fill="EEF2F6"/>
          </w:tcPr>
          <w:p>
            <w:pPr>
              <w:pStyle w:val="Compact"/>
              <w:spacing w:after="20" w:before="20"/>
              <w:jc w:val="left"/>
            </w:pPr>
            <w:r>
              <w:rPr>
                <w:sz w:val="18"/>
              </w:rPr>
              <w:t xml:space="preserve">…</w:t>
            </w:r>
          </w:p>
        </w:tc>
        <w:tc>
          <w:tcPr>
            <w:tcW w:w="1329" w:type="dxa"/>
            <w:shd w:val="clear" w:color="auto" w:fill="EEF2F6"/>
          </w:tcPr>
          <w:p>
            <w:pPr>
              <w:pStyle w:val="Compact"/>
              <w:spacing w:after="20" w:before="20"/>
            </w:pPr>
          </w:p>
        </w:tc>
        <w:tc>
          <w:tcPr>
            <w:tcW w:w="1032" w:type="dxa"/>
            <w:shd w:val="clear" w:color="auto" w:fill="EEF2F6"/>
          </w:tcPr>
          <w:p>
            <w:pPr>
              <w:pStyle w:val="Compact"/>
              <w:spacing w:after="20" w:before="20"/>
            </w:pPr>
          </w:p>
        </w:tc>
        <w:tc>
          <w:tcPr>
            <w:tcW w:w="2374" w:type="dxa"/>
            <w:shd w:val="clear" w:color="auto" w:fill="EEF2F6"/>
          </w:tcPr>
          <w:p>
            <w:pPr>
              <w:pStyle w:val="Compact"/>
              <w:spacing w:after="20" w:before="20"/>
            </w:pPr>
          </w:p>
        </w:tc>
        <w:tc>
          <w:tcPr>
            <w:tcW w:w="1557" w:type="dxa"/>
            <w:shd w:val="clear" w:color="auto" w:fill="EEF2F6"/>
          </w:tcPr>
          <w:p>
            <w:pPr>
              <w:pStyle w:val="Compact"/>
              <w:spacing w:after="20" w:before="20"/>
            </w:pPr>
          </w:p>
        </w:tc>
        <w:tc>
          <w:tcPr>
            <w:tcW w:w="1251" w:type="dxa"/>
            <w:shd w:val="clear" w:color="auto" w:fill="EEF2F6"/>
          </w:tcPr>
          <w:p>
            <w:pPr>
              <w:pStyle w:val="Compact"/>
              <w:spacing w:after="20" w:before="20"/>
            </w:pPr>
          </w:p>
        </w:tc>
      </w:tr>
    </w:tbl>
    <w:p>
      <w:pPr>
        <w:pStyle w:val="BodyText"/>
      </w:pPr>
      <w:r>
        <w:rPr>
          <w:bCs/>
          <w:b/>
        </w:rPr>
        <w:t xml:space="preserve">Schéma 1</w:t>
      </w:r>
      <w:r>
        <w:t xml:space="preserve"> </w:t>
      </w:r>
      <w:r>
        <w:t xml:space="preserve">— Cinématique des sauvegardes du contexte PROD.</w:t>
      </w:r>
      <w:r>
        <w:t xml:space="preserve"> </w:t>
      </w:r>
      <w:r>
        <w:rPr>
          <w:bCs/>
          <w:b/>
        </w:rPr>
        <w:t xml:space="preserve">Schéma 2</w:t>
      </w:r>
      <w:r>
        <w:t xml:space="preserve"> </w:t>
      </w:r>
      <w:r>
        <w:t xml:space="preserve">— Cinématique des sauvegardes du contexte Hors PROD.</w:t>
      </w:r>
    </w:p>
    <w:p>
      <w:pPr>
        <w:pStyle w:val="BodyText"/>
      </w:pPr>
      <w:r>
        <w:rPr>
          <w:bCs/>
          <w:b/>
        </w:rPr>
        <w:t xml:space="preserve">Tableau 2 — Caractéristiques de chaque sauvegarde.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09" w:type="dxa"/>
        <w:tblLayout w:type="fixed"/>
      </w:tblPr>
      <w:tblGrid>
        <w:gridCol w:w="1560"/>
        <w:gridCol w:w="1131"/>
        <w:gridCol w:w="1669"/>
        <w:gridCol w:w="1032"/>
        <w:gridCol w:w="1131"/>
        <w:gridCol w:w="1843"/>
        <w:gridCol w:w="1043"/>
      </w:tblGrid>
      <w:tr>
        <w:trPr>
          <w:tblHeader w:val="true"/>
          <w:tblHeader w:val="true"/>
          <w:cantSplit w:val="true"/>
        </w:trPr>
        <w:tc>
          <w:tcPr>
            <w:tcW w:w="1560" w:type="dxa"/>
            <w:shd w:val="clear" w:color="auto" w:fill="1F3A5F"/>
          </w:tcPr>
          <w:p>
            <w:pPr>
              <w:pStyle w:val="Compact"/>
              <w:spacing w:after="20" w:before="20"/>
              <w:jc w:val="left"/>
            </w:pPr>
            <w:r>
              <w:rPr>
                <w:b/>
                <w:color w:val="FFFFFF"/>
                <w:sz w:val="18"/>
              </w:rPr>
              <w:t xml:space="preserve">Sauvegarde</w:t>
            </w:r>
          </w:p>
        </w:tc>
        <w:tc>
          <w:tcPr>
            <w:tcW w:w="1131" w:type="dxa"/>
            <w:shd w:val="clear" w:color="auto" w:fill="1F3A5F"/>
          </w:tcPr>
          <w:p>
            <w:pPr>
              <w:pStyle w:val="Compact"/>
              <w:spacing w:after="20" w:before="20"/>
              <w:jc w:val="left"/>
            </w:pPr>
            <w:r>
              <w:rPr>
                <w:b/>
                <w:color w:val="FFFFFF"/>
                <w:sz w:val="18"/>
              </w:rPr>
              <w:t xml:space="preserve">Fréquence</w:t>
            </w:r>
          </w:p>
        </w:tc>
        <w:tc>
          <w:tcPr>
            <w:tcW w:w="1669" w:type="dxa"/>
            <w:shd w:val="clear" w:color="auto" w:fill="1F3A5F"/>
          </w:tcPr>
          <w:p>
            <w:pPr>
              <w:pStyle w:val="Compact"/>
              <w:spacing w:after="20" w:before="20"/>
              <w:jc w:val="left"/>
            </w:pPr>
            <w:r>
              <w:rPr>
                <w:b/>
                <w:color w:val="FFFFFF"/>
                <w:sz w:val="18"/>
              </w:rPr>
              <w:t xml:space="preserve">Règle de planification</w:t>
            </w:r>
          </w:p>
        </w:tc>
        <w:tc>
          <w:tcPr>
            <w:tcW w:w="1032" w:type="dxa"/>
            <w:shd w:val="clear" w:color="auto" w:fill="1F3A5F"/>
          </w:tcPr>
          <w:p>
            <w:pPr>
              <w:pStyle w:val="Compact"/>
              <w:spacing w:after="20" w:before="20"/>
              <w:jc w:val="left"/>
            </w:pPr>
            <w:r>
              <w:rPr>
                <w:b/>
                <w:color w:val="FFFFFF"/>
                <w:sz w:val="18"/>
              </w:rPr>
              <w:t xml:space="preserve">Versions</w:t>
            </w:r>
          </w:p>
        </w:tc>
        <w:tc>
          <w:tcPr>
            <w:tcW w:w="1131" w:type="dxa"/>
            <w:shd w:val="clear" w:color="auto" w:fill="1F3A5F"/>
          </w:tcPr>
          <w:p>
            <w:pPr>
              <w:pStyle w:val="Compact"/>
              <w:spacing w:after="20" w:before="20"/>
              <w:jc w:val="left"/>
            </w:pPr>
            <w:r>
              <w:rPr>
                <w:b/>
                <w:color w:val="FFFFFF"/>
                <w:sz w:val="18"/>
              </w:rPr>
              <w:t xml:space="preserve">Rétention maximale</w:t>
            </w:r>
          </w:p>
        </w:tc>
        <w:tc>
          <w:tcPr>
            <w:tcW w:w="1843" w:type="dxa"/>
            <w:shd w:val="clear" w:color="auto" w:fill="1F3A5F"/>
          </w:tcPr>
          <w:p>
            <w:pPr>
              <w:pStyle w:val="Compact"/>
              <w:spacing w:after="20" w:before="20"/>
              <w:jc w:val="left"/>
            </w:pPr>
            <w:r>
              <w:rPr>
                <w:b/>
                <w:color w:val="FFFFFF"/>
                <w:sz w:val="18"/>
              </w:rPr>
              <w:t xml:space="preserve">Localisation</w:t>
            </w:r>
          </w:p>
        </w:tc>
        <w:tc>
          <w:tcPr>
            <w:tcW w:w="1043" w:type="dxa"/>
            <w:shd w:val="clear" w:color="auto" w:fill="1F3A5F"/>
          </w:tcPr>
          <w:p>
            <w:pPr>
              <w:pStyle w:val="Compact"/>
              <w:spacing w:after="20" w:before="20"/>
              <w:jc w:val="left"/>
            </w:pPr>
            <w:r>
              <w:rPr>
                <w:b/>
                <w:color w:val="FFFFFF"/>
                <w:sz w:val="18"/>
              </w:rPr>
              <w:t xml:space="preserve">Immuable / isolée</w:t>
            </w:r>
          </w:p>
        </w:tc>
      </w:tr>
      <w:tr>
        <w:trPr>
          <w:cantSplit w:val="true"/>
        </w:trPr>
        <w:tc>
          <w:tcPr>
            <w:tcW w:w="1560" w:type="dxa"/>
          </w:tcPr>
          <w:p>
            <w:pPr>
              <w:pStyle w:val="Compact"/>
              <w:spacing w:after="20" w:before="20"/>
              <w:jc w:val="left"/>
            </w:pPr>
            <w:r>
              <w:rPr>
                <w:iCs/>
                <w:i/>
                <w:sz w:val="18"/>
              </w:rPr>
              <w:t xml:space="preserve">Ex. quotidienne incrémentale</w:t>
            </w:r>
          </w:p>
        </w:tc>
        <w:tc>
          <w:tcPr>
            <w:tcW w:w="1131" w:type="dxa"/>
          </w:tcPr>
          <w:p>
            <w:pPr>
              <w:pStyle w:val="Compact"/>
              <w:spacing w:after="20" w:before="20"/>
              <w:jc w:val="left"/>
            </w:pPr>
            <w:r>
              <w:rPr>
                <w:sz w:val="18"/>
              </w:rPr>
              <w:t xml:space="preserve">1 j</w:t>
            </w:r>
          </w:p>
        </w:tc>
        <w:tc>
          <w:tcPr>
            <w:tcW w:w="1669" w:type="dxa"/>
          </w:tcPr>
          <w:p>
            <w:pPr>
              <w:pStyle w:val="Compact"/>
              <w:spacing w:after="20" w:before="20"/>
              <w:jc w:val="left"/>
            </w:pPr>
            <w:r>
              <w:rPr>
                <w:iCs/>
                <w:i/>
                <w:sz w:val="18"/>
              </w:rPr>
              <w:t xml:space="preserve">Fenêtre nocturne,</w:t>
            </w:r>
            <w:r>
              <w:rPr>
                <w:iCs/>
                <w:i/>
                <w:sz w:val="18"/>
              </w:rPr>
              <w:t xml:space="preserve"> </w:t>
            </w:r>
            <w:r>
              <w:rPr>
                <w:rStyle w:val="VerbatimChar"/>
                <w:iCs/>
                <w:b/>
                <w:i/>
                <w:color w:val="8A5A00"/>
                <w:sz w:val="18"/>
              </w:rPr>
              <w:t xml:space="preserve">{{HEURE}}</w:t>
            </w:r>
          </w:p>
        </w:tc>
        <w:tc>
          <w:tcPr>
            <w:tcW w:w="1032" w:type="dxa"/>
          </w:tcPr>
          <w:p>
            <w:pPr>
              <w:pStyle w:val="Compact"/>
              <w:spacing w:after="20" w:before="20"/>
              <w:jc w:val="left"/>
            </w:pPr>
            <w:r>
              <w:rPr>
                <w:sz w:val="18"/>
              </w:rPr>
              <w:t xml:space="preserve">15</w:t>
            </w:r>
          </w:p>
        </w:tc>
        <w:tc>
          <w:tcPr>
            <w:tcW w:w="1131" w:type="dxa"/>
          </w:tcPr>
          <w:p>
            <w:pPr>
              <w:pStyle w:val="Compact"/>
              <w:spacing w:after="20" w:before="20"/>
              <w:jc w:val="left"/>
            </w:pPr>
            <w:r>
              <w:rPr>
                <w:sz w:val="18"/>
              </w:rPr>
              <w:t xml:space="preserve">15 j</w:t>
            </w:r>
          </w:p>
        </w:tc>
        <w:tc>
          <w:tcPr>
            <w:tcW w:w="1843" w:type="dxa"/>
          </w:tcPr>
          <w:p>
            <w:pPr>
              <w:pStyle w:val="Compact"/>
              <w:spacing w:after="20" w:before="20"/>
              <w:jc w:val="left"/>
            </w:pPr>
            <w:r>
              <w:rPr>
                <w:rStyle w:val="VerbatimChar"/>
                <w:b/>
                <w:color w:val="8A5A00"/>
                <w:sz w:val="18"/>
              </w:rPr>
              <w:t xml:space="preserve">{{SITE_A}}</w:t>
            </w:r>
            <w:r>
              <w:rPr>
                <w:sz w:val="18"/>
              </w:rPr>
              <w:t xml:space="preserve"> </w:t>
            </w:r>
            <w:r>
              <w:rPr>
                <w:sz w:val="18"/>
              </w:rPr>
              <w:t xml:space="preserve">+ copie dans le coffre isolé</w:t>
            </w:r>
          </w:p>
        </w:tc>
        <w:tc>
          <w:tcPr>
            <w:tcW w:w="1043" w:type="dxa"/>
          </w:tcPr>
          <w:p>
            <w:pPr>
              <w:pStyle w:val="Compact"/>
              <w:spacing w:after="20" w:before="20"/>
              <w:jc w:val="left"/>
            </w:pPr>
            <w:r>
              <w:rPr>
                <w:sz w:val="18"/>
              </w:rPr>
              <w:t xml:space="preserve">Non / Oui</w:t>
            </w:r>
          </w:p>
        </w:tc>
      </w:tr>
      <w:tr>
        <w:trPr>
          <w:cantSplit w:val="true"/>
        </w:trPr>
        <w:tc>
          <w:tcPr>
            <w:tcW w:w="1560" w:type="dxa"/>
            <w:shd w:val="clear" w:color="auto" w:fill="EEF2F6"/>
          </w:tcPr>
          <w:p>
            <w:pPr>
              <w:pStyle w:val="Compact"/>
              <w:spacing w:after="20" w:before="20"/>
              <w:jc w:val="left"/>
            </w:pPr>
            <w:r>
              <w:rPr>
                <w:iCs/>
                <w:i/>
                <w:sz w:val="18"/>
              </w:rPr>
              <w:t xml:space="preserve">Ex. instantané</w:t>
            </w:r>
          </w:p>
        </w:tc>
        <w:tc>
          <w:tcPr>
            <w:tcW w:w="1131" w:type="dxa"/>
            <w:shd w:val="clear" w:color="auto" w:fill="EEF2F6"/>
          </w:tcPr>
          <w:p>
            <w:pPr>
              <w:pStyle w:val="Compact"/>
              <w:spacing w:after="20" w:before="20"/>
              <w:jc w:val="left"/>
            </w:pPr>
            <w:r>
              <w:rPr>
                <w:sz w:val="18"/>
              </w:rPr>
              <w:t xml:space="preserve">12 h</w:t>
            </w:r>
          </w:p>
        </w:tc>
        <w:tc>
          <w:tcPr>
            <w:tcW w:w="1669" w:type="dxa"/>
            <w:shd w:val="clear" w:color="auto" w:fill="EEF2F6"/>
          </w:tcPr>
          <w:p>
            <w:pPr>
              <w:pStyle w:val="Compact"/>
              <w:spacing w:after="20" w:before="20"/>
              <w:jc w:val="left"/>
            </w:pPr>
            <w:r>
              <w:rPr>
                <w:iCs/>
                <w:i/>
                <w:sz w:val="18"/>
              </w:rPr>
              <w:t xml:space="preserve">Deux fois par jour,</w:t>
            </w:r>
            <w:r>
              <w:rPr>
                <w:iCs/>
                <w:i/>
                <w:sz w:val="18"/>
              </w:rPr>
              <w:t xml:space="preserve"> </w:t>
            </w:r>
            <w:r>
              <w:rPr>
                <w:rStyle w:val="VerbatimChar"/>
                <w:iCs/>
                <w:b/>
                <w:i/>
                <w:color w:val="8A5A00"/>
                <w:sz w:val="18"/>
              </w:rPr>
              <w:t xml:space="preserve">{{HEURES}}</w:t>
            </w:r>
          </w:p>
        </w:tc>
        <w:tc>
          <w:tcPr>
            <w:tcW w:w="1032" w:type="dxa"/>
            <w:shd w:val="clear" w:color="auto" w:fill="EEF2F6"/>
          </w:tcPr>
          <w:p>
            <w:pPr>
              <w:pStyle w:val="Compact"/>
              <w:spacing w:after="20" w:before="20"/>
              <w:jc w:val="left"/>
            </w:pPr>
            <w:r>
              <w:rPr>
                <w:sz w:val="18"/>
              </w:rPr>
              <w:t xml:space="preserve">2</w:t>
            </w:r>
          </w:p>
        </w:tc>
        <w:tc>
          <w:tcPr>
            <w:tcW w:w="1131" w:type="dxa"/>
            <w:shd w:val="clear" w:color="auto" w:fill="EEF2F6"/>
          </w:tcPr>
          <w:p>
            <w:pPr>
              <w:pStyle w:val="Compact"/>
              <w:spacing w:after="20" w:before="20"/>
              <w:jc w:val="left"/>
            </w:pPr>
            <w:r>
              <w:rPr>
                <w:sz w:val="18"/>
              </w:rPr>
              <w:t xml:space="preserve">24 h</w:t>
            </w:r>
          </w:p>
        </w:tc>
        <w:tc>
          <w:tcPr>
            <w:tcW w:w="1843" w:type="dxa"/>
            <w:shd w:val="clear" w:color="auto" w:fill="EEF2F6"/>
          </w:tcPr>
          <w:p>
            <w:pPr>
              <w:pStyle w:val="Compact"/>
              <w:spacing w:after="20" w:before="20"/>
              <w:jc w:val="left"/>
            </w:pPr>
            <w:r>
              <w:rPr>
                <w:sz w:val="18"/>
              </w:rPr>
              <w:t xml:space="preserve">Baie primaire</w:t>
            </w:r>
          </w:p>
        </w:tc>
        <w:tc>
          <w:tcPr>
            <w:tcW w:w="1043" w:type="dxa"/>
            <w:shd w:val="clear" w:color="auto" w:fill="EEF2F6"/>
          </w:tcPr>
          <w:p>
            <w:pPr>
              <w:pStyle w:val="Compact"/>
              <w:spacing w:after="20" w:before="20"/>
              <w:jc w:val="left"/>
            </w:pPr>
            <w:r>
              <w:rPr>
                <w:sz w:val="18"/>
              </w:rPr>
              <w:t xml:space="preserve">Non</w:t>
            </w:r>
          </w:p>
        </w:tc>
      </w:tr>
      <w:tr>
        <w:trPr>
          <w:cantSplit w:val="true"/>
        </w:trPr>
        <w:tc>
          <w:tcPr>
            <w:tcW w:w="1560" w:type="dxa"/>
          </w:tcPr>
          <w:p>
            <w:pPr>
              <w:pStyle w:val="Compact"/>
              <w:spacing w:after="20" w:before="20"/>
              <w:jc w:val="left"/>
            </w:pPr>
            <w:r>
              <w:rPr>
                <w:sz w:val="18"/>
              </w:rPr>
              <w:t xml:space="preserve">…</w:t>
            </w:r>
          </w:p>
        </w:tc>
        <w:tc>
          <w:tcPr>
            <w:tcW w:w="1131" w:type="dxa"/>
          </w:tcPr>
          <w:p>
            <w:pPr>
              <w:pStyle w:val="Compact"/>
              <w:spacing w:after="20" w:before="20"/>
            </w:pPr>
          </w:p>
        </w:tc>
        <w:tc>
          <w:tcPr>
            <w:tcW w:w="1669" w:type="dxa"/>
          </w:tcPr>
          <w:p>
            <w:pPr>
              <w:pStyle w:val="Compact"/>
              <w:spacing w:after="20" w:before="20"/>
            </w:pPr>
          </w:p>
        </w:tc>
        <w:tc>
          <w:tcPr>
            <w:tcW w:w="1032" w:type="dxa"/>
          </w:tcPr>
          <w:p>
            <w:pPr>
              <w:pStyle w:val="Compact"/>
              <w:spacing w:after="20" w:before="20"/>
            </w:pPr>
          </w:p>
        </w:tc>
        <w:tc>
          <w:tcPr>
            <w:tcW w:w="1131" w:type="dxa"/>
          </w:tcPr>
          <w:p>
            <w:pPr>
              <w:pStyle w:val="Compact"/>
              <w:spacing w:after="20" w:before="20"/>
            </w:pPr>
          </w:p>
        </w:tc>
        <w:tc>
          <w:tcPr>
            <w:tcW w:w="1843" w:type="dxa"/>
          </w:tcPr>
          <w:p>
            <w:pPr>
              <w:pStyle w:val="Compact"/>
              <w:spacing w:after="20" w:before="20"/>
            </w:pPr>
          </w:p>
        </w:tc>
        <w:tc>
          <w:tcPr>
            <w:tcW w:w="1043" w:type="dxa"/>
          </w:tcPr>
          <w:p>
            <w:pPr>
              <w:pStyle w:val="Compact"/>
              <w:spacing w:after="20" w:before="20"/>
            </w:pPr>
          </w:p>
        </w:tc>
      </w:tr>
    </w:tbl>
    <w:bookmarkEnd w:id="102"/>
    <w:bookmarkStart w:id="107" w:name="Xd2b876541c779a86b950a9bdfca620f5a47e066"/>
    <w:p>
      <w:pPr>
        <w:pStyle w:val="Heading2"/>
      </w:pPr>
      <w:r>
        <w:t xml:space="preserve">9.4 Couverture des scénarios d'indisponibilité</w:t>
      </w:r>
    </w:p>
    <w:p>
      <w:pPr>
        <w:pStyle w:val="FirstParagraph"/>
      </w:pPr>
      <w:r>
        <w:t xml:space="preserve">Principes directeurs de restauration pour un retour au mode nominal global.</w:t>
      </w:r>
    </w:p>
    <w:bookmarkStart w:id="103" w:name="ilp-ou-nominal-dégradé"/>
    <w:p>
      <w:pPr>
        <w:pStyle w:val="Heading3"/>
      </w:pPr>
      <w:r>
        <w:t xml:space="preserve">9.4.1 ILP ou nominal dégradé</w:t>
      </w:r>
    </w:p>
    <w:p>
      <w:pPr>
        <w:numPr>
          <w:ilvl w:val="0"/>
          <w:numId w:val="1048"/>
        </w:numPr>
        <w:pStyle w:val="Compact"/>
      </w:pPr>
      <w:r>
        <w:t xml:space="preserve">Les données actives ou historiques (§5.1) impactées sont restaurées à partir des sauvegardes disponibles.</w:t>
      </w:r>
    </w:p>
    <w:p>
      <w:pPr>
        <w:numPr>
          <w:ilvl w:val="0"/>
          <w:numId w:val="1048"/>
        </w:numPr>
        <w:pStyle w:val="Compact"/>
      </w:pPr>
      <w:r>
        <w:t xml:space="preserve">Les données mortes impactées sont reconstituées à partir des sauvegardes disponibles sur un autre site ou une autre source.</w:t>
      </w:r>
    </w:p>
    <w:bookmarkEnd w:id="103"/>
    <w:bookmarkStart w:id="104" w:name="ipp"/>
    <w:p>
      <w:pPr>
        <w:pStyle w:val="Heading3"/>
      </w:pPr>
      <w:r>
        <w:t xml:space="preserve">9.4.2 IPP</w:t>
      </w:r>
    </w:p>
    <w:p>
      <w:pPr>
        <w:numPr>
          <w:ilvl w:val="0"/>
          <w:numId w:val="1049"/>
        </w:numPr>
        <w:pStyle w:val="Compact"/>
      </w:pPr>
      <w:r>
        <w:t xml:space="preserve">Les dispositifs de haute disponibilité assurent la sécurité des données primaires.</w:t>
      </w:r>
    </w:p>
    <w:p>
      <w:pPr>
        <w:numPr>
          <w:ilvl w:val="0"/>
          <w:numId w:val="1049"/>
        </w:numPr>
        <w:pStyle w:val="Compact"/>
      </w:pPr>
      <w:r>
        <w:t xml:space="preserve">Les données qui n'en bénéficient pas sont couvertes par les mesures du scénario ILP.</w:t>
      </w:r>
    </w:p>
    <w:bookmarkEnd w:id="104"/>
    <w:bookmarkStart w:id="105" w:name="ilg"/>
    <w:p>
      <w:pPr>
        <w:pStyle w:val="Heading3"/>
      </w:pPr>
      <w:r>
        <w:t xml:space="preserve">9.4.3 ILG</w:t>
      </w:r>
    </w:p>
    <w:p>
      <w:pPr>
        <w:pStyle w:val="FirstParagraph"/>
      </w:pPr>
      <w:r>
        <w:t xml:space="preserve">Dispositions détaillées au §8.4, en particulier :</w:t>
      </w:r>
    </w:p>
    <w:p>
      <w:pPr>
        <w:numPr>
          <w:ilvl w:val="0"/>
          <w:numId w:val="1050"/>
        </w:numPr>
        <w:pStyle w:val="Compact"/>
      </w:pPr>
      <w:r>
        <w:t xml:space="preserve">suspension de tous les services PROD et Hors PROD jusqu'au diagnostic ;</w:t>
      </w:r>
    </w:p>
    <w:p>
      <w:pPr>
        <w:numPr>
          <w:ilvl w:val="0"/>
          <w:numId w:val="1050"/>
        </w:numPr>
        <w:pStyle w:val="Compact"/>
      </w:pPr>
      <w:r>
        <w:t xml:space="preserve">sauvegarde « à la demande » généralisée de la PROD ;</w:t>
      </w:r>
    </w:p>
    <w:p>
      <w:pPr>
        <w:numPr>
          <w:ilvl w:val="0"/>
          <w:numId w:val="1050"/>
        </w:numPr>
        <w:pStyle w:val="Compact"/>
      </w:pPr>
      <w:r>
        <w:t xml:space="preserve">restauration à partir des dispositifs de sauvegarde et de restauration rapides (snapshots, clones),</w:t>
      </w:r>
      <w:r>
        <w:t xml:space="preserve"> </w:t>
      </w:r>
      <w:r>
        <w:rPr>
          <w:bCs/>
          <w:b/>
        </w:rPr>
        <w:t xml:space="preserve">après vérification de leur intégrité</w:t>
      </w:r>
      <w:r>
        <w:t xml:space="preserve"> </w:t>
      </w:r>
      <w:r>
        <w:t xml:space="preserve">;</w:t>
      </w:r>
    </w:p>
    <w:p>
      <w:pPr>
        <w:numPr>
          <w:ilvl w:val="0"/>
          <w:numId w:val="1050"/>
        </w:numPr>
        <w:pStyle w:val="Compact"/>
      </w:pPr>
      <w:r>
        <w:t xml:space="preserve">application du même point de restauration à toutes les données, pour une PDMA homogène ;</w:t>
      </w:r>
    </w:p>
    <w:p>
      <w:pPr>
        <w:numPr>
          <w:ilvl w:val="0"/>
          <w:numId w:val="1050"/>
        </w:numPr>
        <w:pStyle w:val="Compact"/>
      </w:pPr>
      <w:r>
        <w:t xml:space="preserve">en cas de corruption des sauvegardes principales, restauration depuis les copies isolées : DMIA de 7 jours, PDMA dépendant de la disponibilité de ces copies.</w:t>
      </w:r>
    </w:p>
    <w:p>
      <w:pPr>
        <w:pStyle w:val="FirstParagraph"/>
      </w:pPr>
      <w:r>
        <w:t xml:space="preserve">Le volume impose de</w:t>
      </w:r>
      <w:r>
        <w:t xml:space="preserve"> </w:t>
      </w:r>
      <w:r>
        <w:rPr>
          <w:bCs/>
          <w:b/>
        </w:rPr>
        <w:t xml:space="preserve">prioriser</w:t>
      </w:r>
      <w:r>
        <w:t xml:space="preserve"> </w:t>
      </w:r>
      <w:r>
        <w:t xml:space="preserve">les restaurations selon la disponibilité attendue des applications :</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780"/>
        <w:gridCol w:w="7631"/>
      </w:tblGrid>
      <w:tr>
        <w:trPr>
          <w:tblHeader w:val="true"/>
          <w:tblHeader w:val="true"/>
          <w:cantSplit w:val="true"/>
        </w:trPr>
        <w:tc>
          <w:tcPr>
            <w:tcW w:w="1780" w:type="dxa"/>
            <w:shd w:val="clear" w:color="auto" w:fill="1F3A5F"/>
          </w:tcPr>
          <w:p>
            <w:pPr>
              <w:pStyle w:val="Compact"/>
              <w:spacing w:after="20" w:before="20"/>
              <w:jc w:val="left"/>
            </w:pPr>
            <w:r>
              <w:rPr>
                <w:b/>
                <w:color w:val="FFFFFF"/>
                <w:sz w:val="18"/>
              </w:rPr>
              <w:t xml:space="preserve">Étape</w:t>
            </w:r>
          </w:p>
        </w:tc>
        <w:tc>
          <w:tcPr>
            <w:tcW w:w="7631" w:type="dxa"/>
            <w:shd w:val="clear" w:color="auto" w:fill="1F3A5F"/>
          </w:tcPr>
          <w:p>
            <w:pPr>
              <w:pStyle w:val="Compact"/>
              <w:spacing w:after="20" w:before="20"/>
              <w:jc w:val="left"/>
            </w:pPr>
            <w:r>
              <w:rPr>
                <w:b/>
                <w:color w:val="FFFFFF"/>
                <w:sz w:val="18"/>
              </w:rPr>
              <w:t xml:space="preserve">Périmètre</w:t>
            </w:r>
          </w:p>
        </w:tc>
      </w:tr>
      <w:tr>
        <w:trPr>
          <w:cantSplit w:val="true"/>
        </w:trPr>
        <w:tc>
          <w:tcPr>
            <w:tcW w:w="1780" w:type="dxa"/>
          </w:tcPr>
          <w:p>
            <w:pPr>
              <w:pStyle w:val="Compact"/>
              <w:spacing w:after="20" w:before="20"/>
              <w:jc w:val="left"/>
            </w:pPr>
            <w:r>
              <w:rPr>
                <w:sz w:val="18"/>
              </w:rPr>
              <w:t xml:space="preserve">0</w:t>
            </w:r>
            <w:r>
              <w:rPr>
                <w:sz w:val="18"/>
              </w:rPr>
              <w:t xml:space="preserve"> </w:t>
            </w:r>
            <w:r>
              <w:rPr>
                <w:iCs/>
                <w:i/>
                <w:sz w:val="18"/>
              </w:rPr>
              <w:t xml:space="preserve">(ajout)</w:t>
            </w:r>
          </w:p>
        </w:tc>
        <w:tc>
          <w:tcPr>
            <w:tcW w:w="7631" w:type="dxa"/>
          </w:tcPr>
          <w:p>
            <w:pPr>
              <w:pStyle w:val="Compact"/>
              <w:spacing w:after="20" w:before="20"/>
              <w:jc w:val="left"/>
            </w:pPr>
            <w:r>
              <w:rPr>
                <w:sz w:val="18"/>
              </w:rPr>
              <w:t xml:space="preserve">Infrastructure de sauvegarde et coffre, poste d'administration sain, gestion des secrets</w:t>
            </w:r>
          </w:p>
        </w:tc>
      </w:tr>
      <w:tr>
        <w:trPr>
          <w:cantSplit w:val="true"/>
        </w:trPr>
        <w:tc>
          <w:tcPr>
            <w:tcW w:w="1780" w:type="dxa"/>
            <w:shd w:val="clear" w:color="auto" w:fill="EEF2F6"/>
          </w:tcPr>
          <w:p>
            <w:pPr>
              <w:pStyle w:val="Compact"/>
              <w:spacing w:after="20" w:before="20"/>
              <w:jc w:val="left"/>
            </w:pPr>
            <w:r>
              <w:rPr>
                <w:sz w:val="18"/>
              </w:rPr>
              <w:t xml:space="preserve">1</w:t>
            </w:r>
          </w:p>
        </w:tc>
        <w:tc>
          <w:tcPr>
            <w:tcW w:w="7631" w:type="dxa"/>
            <w:shd w:val="clear" w:color="auto" w:fill="EEF2F6"/>
          </w:tcPr>
          <w:p>
            <w:pPr>
              <w:pStyle w:val="Compact"/>
              <w:spacing w:after="20" w:before="20"/>
              <w:jc w:val="left"/>
            </w:pPr>
            <w:r>
              <w:rPr>
                <w:sz w:val="18"/>
              </w:rPr>
              <w:t xml:space="preserve">Services d'infrastructure : annuaire, DNS, DHCP, PKI, pare-feu, antivirus / EDR</w:t>
            </w:r>
          </w:p>
        </w:tc>
      </w:tr>
      <w:tr>
        <w:trPr>
          <w:cantSplit w:val="true"/>
        </w:trPr>
        <w:tc>
          <w:tcPr>
            <w:tcW w:w="1780" w:type="dxa"/>
          </w:tcPr>
          <w:p>
            <w:pPr>
              <w:pStyle w:val="Compact"/>
              <w:spacing w:after="20" w:before="20"/>
              <w:jc w:val="left"/>
            </w:pPr>
            <w:r>
              <w:rPr>
                <w:sz w:val="18"/>
              </w:rPr>
              <w:t xml:space="preserve">2</w:t>
            </w:r>
          </w:p>
        </w:tc>
        <w:tc>
          <w:tcPr>
            <w:tcW w:w="7631" w:type="dxa"/>
          </w:tcPr>
          <w:p>
            <w:pPr>
              <w:pStyle w:val="Compact"/>
              <w:spacing w:after="20" w:before="20"/>
              <w:jc w:val="left"/>
            </w:pPr>
            <w:r>
              <w:rPr>
                <w:sz w:val="18"/>
              </w:rPr>
              <w:t xml:space="preserve">Systèmes d'exploitation et hyperviseurs</w:t>
            </w:r>
          </w:p>
        </w:tc>
      </w:tr>
      <w:tr>
        <w:trPr>
          <w:cantSplit w:val="true"/>
        </w:trPr>
        <w:tc>
          <w:tcPr>
            <w:tcW w:w="1780" w:type="dxa"/>
            <w:shd w:val="clear" w:color="auto" w:fill="EEF2F6"/>
          </w:tcPr>
          <w:p>
            <w:pPr>
              <w:pStyle w:val="Compact"/>
              <w:spacing w:after="20" w:before="20"/>
              <w:jc w:val="left"/>
            </w:pPr>
            <w:r>
              <w:rPr>
                <w:sz w:val="18"/>
              </w:rPr>
              <w:t xml:space="preserve">3</w:t>
            </w:r>
          </w:p>
        </w:tc>
        <w:tc>
          <w:tcPr>
            <w:tcW w:w="7631" w:type="dxa"/>
            <w:shd w:val="clear" w:color="auto" w:fill="EEF2F6"/>
          </w:tcPr>
          <w:p>
            <w:pPr>
              <w:pStyle w:val="Compact"/>
              <w:spacing w:after="20" w:before="20"/>
              <w:jc w:val="left"/>
            </w:pPr>
            <w:r>
              <w:rPr>
                <w:sz w:val="18"/>
              </w:rPr>
              <w:t xml:space="preserve">Services IT transverses : messagerie, ordonnancement, supervision</w:t>
            </w:r>
          </w:p>
        </w:tc>
      </w:tr>
      <w:tr>
        <w:trPr>
          <w:cantSplit w:val="true"/>
        </w:trPr>
        <w:tc>
          <w:tcPr>
            <w:tcW w:w="1780" w:type="dxa"/>
          </w:tcPr>
          <w:p>
            <w:pPr>
              <w:pStyle w:val="Compact"/>
              <w:spacing w:after="20" w:before="20"/>
              <w:jc w:val="left"/>
            </w:pPr>
            <w:r>
              <w:rPr>
                <w:sz w:val="18"/>
              </w:rPr>
              <w:t xml:space="preserve">4</w:t>
            </w:r>
          </w:p>
        </w:tc>
        <w:tc>
          <w:tcPr>
            <w:tcW w:w="7631" w:type="dxa"/>
          </w:tcPr>
          <w:p>
            <w:pPr>
              <w:pStyle w:val="Compact"/>
              <w:spacing w:after="20" w:before="20"/>
              <w:jc w:val="left"/>
            </w:pPr>
            <w:r>
              <w:rPr>
                <w:sz w:val="18"/>
              </w:rPr>
              <w:t xml:space="preserve">Fonctions support et ressources d'analyse d'impact : centre de services, gestion des incidents, référentiel des sources applicatives, CMDB</w:t>
            </w:r>
          </w:p>
        </w:tc>
      </w:tr>
      <w:tr>
        <w:trPr>
          <w:cantSplit w:val="true"/>
        </w:trPr>
        <w:tc>
          <w:tcPr>
            <w:tcW w:w="1780" w:type="dxa"/>
            <w:shd w:val="clear" w:color="auto" w:fill="EEF2F6"/>
          </w:tcPr>
          <w:p>
            <w:pPr>
              <w:pStyle w:val="Compact"/>
              <w:spacing w:after="20" w:before="20"/>
              <w:jc w:val="left"/>
            </w:pPr>
            <w:r>
              <w:rPr>
                <w:sz w:val="18"/>
              </w:rPr>
              <w:t xml:space="preserve">5 et suivantes</w:t>
            </w:r>
          </w:p>
        </w:tc>
        <w:tc>
          <w:tcPr>
            <w:tcW w:w="7631" w:type="dxa"/>
            <w:shd w:val="clear" w:color="auto" w:fill="EEF2F6"/>
          </w:tcPr>
          <w:p>
            <w:pPr>
              <w:pStyle w:val="Compact"/>
              <w:spacing w:after="20" w:before="20"/>
              <w:jc w:val="left"/>
            </w:pPr>
            <w:r>
              <w:rPr>
                <w:sz w:val="18"/>
              </w:rPr>
              <w:t xml:space="preserve">Données métier, selon les critères de disponibilité de la CMDB et les dépendances entre applications</w:t>
            </w:r>
          </w:p>
        </w:tc>
      </w:tr>
    </w:tbl>
    <w:bookmarkEnd w:id="105"/>
    <w:bookmarkStart w:id="106" w:name="ipg"/>
    <w:p>
      <w:pPr>
        <w:pStyle w:val="Heading3"/>
      </w:pPr>
      <w:r>
        <w:t xml:space="preserve">9.4.4 IPG</w:t>
      </w:r>
    </w:p>
    <w:p>
      <w:pPr>
        <w:pStyle w:val="FirstParagraph"/>
      </w:pPr>
      <w:r>
        <w:t xml:space="preserve">La sécurisation repose sur le dispositif d'externalisation et d'isolation des sauvegardes (§5.14). L'ordre de priorité de reconstruction est celui du §9.4.3, sur l'infrastructure de repli.</w:t>
      </w:r>
    </w:p>
    <w:bookmarkEnd w:id="106"/>
    <w:bookmarkEnd w:id="107"/>
    <w:bookmarkStart w:id="108" w:name="X01d95c01deb995027f4cd4e4090238f3fd09a4c"/>
    <w:p>
      <w:pPr>
        <w:pStyle w:val="Heading2"/>
      </w:pPr>
      <w:r>
        <w:t xml:space="preserve">9.5 Modalités préétablies de gestion des incidents</w:t>
      </w:r>
    </w:p>
    <w:p>
      <w:pPr>
        <w:pStyle w:val="FirstParagraph"/>
      </w:pPr>
      <w:r>
        <w:t xml:space="preserve">Un incident sur un traitement de sauvegarde réduit le niveau de sécurité des données associées. La reprise ou l'abandon du traitement dépend de la récurrence de l'incident, de la criticité des données et de la fréquence du traitement.</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287"/>
        <w:gridCol w:w="2179"/>
        <w:gridCol w:w="5945"/>
      </w:tblGrid>
      <w:tr>
        <w:trPr>
          <w:tblHeader w:val="true"/>
          <w:tblHeader w:val="true"/>
          <w:cantSplit w:val="true"/>
        </w:trPr>
        <w:tc>
          <w:tcPr>
            <w:tcW w:w="1287" w:type="dxa"/>
            <w:shd w:val="clear" w:color="auto" w:fill="1F3A5F"/>
          </w:tcPr>
          <w:p>
            <w:pPr>
              <w:pStyle w:val="Compact"/>
              <w:spacing w:after="20" w:before="20"/>
              <w:jc w:val="left"/>
            </w:pPr>
            <w:r>
              <w:rPr>
                <w:b/>
                <w:color w:val="FFFFFF"/>
                <w:sz w:val="18"/>
              </w:rPr>
              <w:t xml:space="preserve">Données</w:t>
            </w:r>
          </w:p>
        </w:tc>
        <w:tc>
          <w:tcPr>
            <w:tcW w:w="2179" w:type="dxa"/>
            <w:shd w:val="clear" w:color="auto" w:fill="1F3A5F"/>
          </w:tcPr>
          <w:p>
            <w:pPr>
              <w:pStyle w:val="Compact"/>
              <w:spacing w:after="20" w:before="20"/>
              <w:jc w:val="left"/>
            </w:pPr>
            <w:r>
              <w:rPr>
                <w:b/>
                <w:color w:val="FFFFFF"/>
                <w:sz w:val="18"/>
              </w:rPr>
              <w:t xml:space="preserve">Traitement</w:t>
            </w:r>
          </w:p>
        </w:tc>
        <w:tc>
          <w:tcPr>
            <w:tcW w:w="5945" w:type="dxa"/>
            <w:shd w:val="clear" w:color="auto" w:fill="1F3A5F"/>
          </w:tcPr>
          <w:p>
            <w:pPr>
              <w:pStyle w:val="Compact"/>
              <w:spacing w:after="20" w:before="20"/>
              <w:jc w:val="left"/>
            </w:pPr>
            <w:r>
              <w:rPr>
                <w:b/>
                <w:color w:val="FFFFFF"/>
                <w:sz w:val="18"/>
              </w:rPr>
              <w:t xml:space="preserve">Règle de reprise</w:t>
            </w:r>
          </w:p>
        </w:tc>
      </w:tr>
      <w:tr>
        <w:trPr>
          <w:cantSplit w:val="true"/>
        </w:trPr>
        <w:tc>
          <w:tcPr>
            <w:tcW w:w="1287" w:type="dxa"/>
          </w:tcPr>
          <w:p>
            <w:pPr>
              <w:pStyle w:val="Compact"/>
              <w:spacing w:after="20" w:before="20"/>
              <w:jc w:val="left"/>
            </w:pPr>
            <w:r>
              <w:rPr>
                <w:bCs/>
                <w:b/>
                <w:sz w:val="18"/>
              </w:rPr>
              <w:t xml:space="preserve">Critiques</w:t>
            </w:r>
          </w:p>
        </w:tc>
        <w:tc>
          <w:tcPr>
            <w:tcW w:w="2179" w:type="dxa"/>
          </w:tcPr>
          <w:p>
            <w:pPr>
              <w:pStyle w:val="Compact"/>
              <w:spacing w:after="20" w:before="20"/>
              <w:jc w:val="left"/>
            </w:pPr>
            <w:r>
              <w:rPr>
                <w:sz w:val="18"/>
              </w:rPr>
              <w:t xml:space="preserve">Tous</w:t>
            </w:r>
          </w:p>
        </w:tc>
        <w:tc>
          <w:tcPr>
            <w:tcW w:w="5945" w:type="dxa"/>
          </w:tcPr>
          <w:p>
            <w:pPr>
              <w:pStyle w:val="Compact"/>
              <w:spacing w:after="20" w:before="20"/>
              <w:jc w:val="left"/>
            </w:pPr>
            <w:r>
              <w:rPr>
                <w:sz w:val="18"/>
              </w:rPr>
              <w:t xml:space="preserve">Sauvegarde réalisée dans le respect de la PDMA. À défaut,</w:t>
            </w:r>
            <w:r>
              <w:rPr>
                <w:sz w:val="18"/>
              </w:rPr>
              <w:t xml:space="preserve"> </w:t>
            </w:r>
            <w:r>
              <w:rPr>
                <w:bCs/>
                <w:b/>
                <w:sz w:val="18"/>
              </w:rPr>
              <w:t xml:space="preserve">alerte des métiers</w:t>
            </w:r>
            <w:r>
              <w:rPr>
                <w:sz w:val="18"/>
              </w:rPr>
              <w:t xml:space="preserve">.</w:t>
            </w:r>
          </w:p>
        </w:tc>
      </w:tr>
      <w:tr>
        <w:trPr>
          <w:cantSplit w:val="true"/>
        </w:trPr>
        <w:tc>
          <w:tcPr>
            <w:tcW w:w="1287" w:type="dxa"/>
            <w:shd w:val="clear" w:color="auto" w:fill="EEF2F6"/>
          </w:tcPr>
          <w:p>
            <w:pPr>
              <w:pStyle w:val="Compact"/>
              <w:spacing w:after="20" w:before="20"/>
              <w:jc w:val="left"/>
            </w:pPr>
            <w:r>
              <w:rPr>
                <w:bCs/>
                <w:b/>
                <w:sz w:val="18"/>
              </w:rPr>
              <w:t xml:space="preserve">Non critiques</w:t>
            </w:r>
          </w:p>
        </w:tc>
        <w:tc>
          <w:tcPr>
            <w:tcW w:w="2179" w:type="dxa"/>
            <w:shd w:val="clear" w:color="auto" w:fill="EEF2F6"/>
          </w:tcPr>
          <w:p>
            <w:pPr>
              <w:pStyle w:val="Compact"/>
              <w:spacing w:after="20" w:before="20"/>
              <w:jc w:val="left"/>
            </w:pPr>
            <w:r>
              <w:rPr>
                <w:sz w:val="18"/>
              </w:rPr>
              <w:t xml:space="preserve">Quotidien</w:t>
            </w:r>
          </w:p>
        </w:tc>
        <w:tc>
          <w:tcPr>
            <w:tcW w:w="5945" w:type="dxa"/>
            <w:shd w:val="clear" w:color="auto" w:fill="EEF2F6"/>
          </w:tcPr>
          <w:p>
            <w:pPr>
              <w:pStyle w:val="Compact"/>
              <w:spacing w:after="20" w:before="20"/>
              <w:jc w:val="left"/>
            </w:pPr>
            <w:r>
              <w:rPr>
                <w:sz w:val="18"/>
              </w:rPr>
              <w:t xml:space="preserve">Abandonné une fois (repris au cycle suivant)</w:t>
            </w:r>
          </w:p>
        </w:tc>
      </w:tr>
      <w:tr>
        <w:trPr>
          <w:cantSplit w:val="true"/>
        </w:trPr>
        <w:tc>
          <w:tcPr>
            <w:tcW w:w="1287" w:type="dxa"/>
          </w:tcPr>
          <w:p>
            <w:pPr>
              <w:pStyle w:val="Compact"/>
              <w:spacing w:after="20" w:before="20"/>
            </w:pPr>
          </w:p>
        </w:tc>
        <w:tc>
          <w:tcPr>
            <w:tcW w:w="2179" w:type="dxa"/>
          </w:tcPr>
          <w:p>
            <w:pPr>
              <w:pStyle w:val="Compact"/>
              <w:spacing w:after="20" w:before="20"/>
              <w:jc w:val="left"/>
            </w:pPr>
            <w:r>
              <w:rPr>
                <w:sz w:val="18"/>
              </w:rPr>
              <w:t xml:space="preserve">Hebdomadaire</w:t>
            </w:r>
          </w:p>
        </w:tc>
        <w:tc>
          <w:tcPr>
            <w:tcW w:w="5945" w:type="dxa"/>
          </w:tcPr>
          <w:p>
            <w:pPr>
              <w:pStyle w:val="Compact"/>
              <w:spacing w:after="20" w:before="20"/>
              <w:jc w:val="left"/>
            </w:pPr>
            <w:r>
              <w:rPr>
                <w:sz w:val="18"/>
              </w:rPr>
              <w:t xml:space="preserve">Repris une fois</w:t>
            </w:r>
          </w:p>
        </w:tc>
      </w:tr>
      <w:tr>
        <w:trPr>
          <w:cantSplit w:val="true"/>
        </w:trPr>
        <w:tc>
          <w:tcPr>
            <w:tcW w:w="1287" w:type="dxa"/>
            <w:shd w:val="clear" w:color="auto" w:fill="EEF2F6"/>
          </w:tcPr>
          <w:p>
            <w:pPr>
              <w:pStyle w:val="Compact"/>
              <w:spacing w:after="20" w:before="20"/>
            </w:pPr>
          </w:p>
        </w:tc>
        <w:tc>
          <w:tcPr>
            <w:tcW w:w="2179" w:type="dxa"/>
            <w:shd w:val="clear" w:color="auto" w:fill="EEF2F6"/>
          </w:tcPr>
          <w:p>
            <w:pPr>
              <w:pStyle w:val="Compact"/>
              <w:spacing w:after="20" w:before="20"/>
              <w:jc w:val="left"/>
            </w:pPr>
            <w:r>
              <w:rPr>
                <w:sz w:val="18"/>
              </w:rPr>
              <w:t xml:space="preserve">Mensuel ou plus espacé</w:t>
            </w:r>
          </w:p>
        </w:tc>
        <w:tc>
          <w:tcPr>
            <w:tcW w:w="5945" w:type="dxa"/>
            <w:shd w:val="clear" w:color="auto" w:fill="EEF2F6"/>
          </w:tcPr>
          <w:p>
            <w:pPr>
              <w:pStyle w:val="Compact"/>
              <w:spacing w:after="20" w:before="20"/>
              <w:jc w:val="left"/>
            </w:pPr>
            <w:r>
              <w:rPr>
                <w:sz w:val="18"/>
              </w:rPr>
              <w:t xml:space="preserve">Repris jusqu'à réalisation</w:t>
            </w:r>
          </w:p>
        </w:tc>
      </w:tr>
      <w:tr>
        <w:trPr>
          <w:cantSplit w:val="true"/>
        </w:trPr>
        <w:tc>
          <w:tcPr>
            <w:tcW w:w="1287" w:type="dxa"/>
          </w:tcPr>
          <w:p>
            <w:pPr>
              <w:pStyle w:val="Compact"/>
              <w:spacing w:after="20" w:before="20"/>
            </w:pPr>
          </w:p>
        </w:tc>
        <w:tc>
          <w:tcPr>
            <w:tcW w:w="2179" w:type="dxa"/>
          </w:tcPr>
          <w:p>
            <w:pPr>
              <w:pStyle w:val="Compact"/>
              <w:spacing w:after="20" w:before="20"/>
              <w:jc w:val="left"/>
            </w:pPr>
            <w:r>
              <w:rPr>
                <w:sz w:val="18"/>
              </w:rPr>
              <w:t xml:space="preserve">Tous</w:t>
            </w:r>
          </w:p>
        </w:tc>
        <w:tc>
          <w:tcPr>
            <w:tcW w:w="5945" w:type="dxa"/>
          </w:tcPr>
          <w:p>
            <w:pPr>
              <w:pStyle w:val="Compact"/>
              <w:spacing w:after="20" w:before="20"/>
              <w:jc w:val="left"/>
            </w:pPr>
            <w:r>
              <w:rPr>
                <w:sz w:val="18"/>
              </w:rPr>
              <w:t xml:space="preserve">En cas de non-respect,</w:t>
            </w:r>
            <w:r>
              <w:rPr>
                <w:sz w:val="18"/>
              </w:rPr>
              <w:t xml:space="preserve"> </w:t>
            </w:r>
            <w:r>
              <w:rPr>
                <w:bCs/>
                <w:b/>
                <w:sz w:val="18"/>
              </w:rPr>
              <w:t xml:space="preserve">alerte des métiers</w:t>
            </w:r>
          </w:p>
        </w:tc>
      </w:tr>
    </w:tbl>
    <w:p>
      <w:pPr>
        <w:pStyle w:val="BodyText"/>
      </w:pPr>
      <w:r>
        <w:t xml:space="preserve">⚠ Deux abandons consécutifs d'un traitement quotidien constituent un incident à part entière (§7.4.1)</w:t>
      </w:r>
      <w:r>
        <w:t xml:space="preserve"> </w:t>
      </w:r>
      <w:r>
        <w:rPr>
          <w:bCs/>
          <w:b/>
        </w:rPr>
        <w:t xml:space="preserve">[À VALIDER]</w:t>
      </w:r>
      <w:r>
        <w:t xml:space="preserve">.</w:t>
      </w:r>
    </w:p>
    <w:bookmarkEnd w:id="108"/>
    <w:bookmarkEnd w:id="109"/>
    <w:bookmarkStart w:id="110" w:name="offres-spécifiques-de-sauvegarde-oss"/>
    <w:p>
      <w:pPr>
        <w:pStyle w:val="Heading1"/>
      </w:pPr>
      <w:r>
        <w:t xml:space="preserve">10. Offres Spécifiques de Sauvegarde (OSS)</w:t>
      </w:r>
    </w:p>
    <w:p>
      <w:pPr>
        <w:pStyle w:val="FirstParagraph"/>
      </w:pPr>
      <w:r>
        <w:t xml:space="preserve">Des OSS peuvent être constituées à la demande d'un ou plusieurs métiers. Elles complètent l'OGS sans pouvoir en réduire la portée, et peuvent porter sur tout ou partie de ses aspects.</w:t>
      </w:r>
    </w:p>
    <w:p>
      <w:pPr>
        <w:pStyle w:val="BodyText"/>
      </w:pPr>
      <w:r>
        <w:t xml:space="preserve">Elles sont construites en mode projet :</w:t>
      </w:r>
    </w:p>
    <w:p>
      <w:pPr>
        <w:numPr>
          <w:ilvl w:val="0"/>
          <w:numId w:val="1051"/>
        </w:numPr>
        <w:pStyle w:val="Compact"/>
      </w:pPr>
      <w:r>
        <w:t xml:space="preserve">le métier exprime son besoin complémentaire de sécurisation ;</w:t>
      </w:r>
    </w:p>
    <w:p>
      <w:pPr>
        <w:numPr>
          <w:ilvl w:val="0"/>
          <w:numId w:val="1051"/>
        </w:numPr>
        <w:pStyle w:val="Compact"/>
      </w:pPr>
      <w:r>
        <w:t xml:space="preserve">le DARCH réalise une étude des moyens complémentaires et de leurs conséquences sur le SI et son exploitation ;</w:t>
      </w:r>
    </w:p>
    <w:p>
      <w:pPr>
        <w:numPr>
          <w:ilvl w:val="0"/>
          <w:numId w:val="1051"/>
        </w:numPr>
        <w:pStyle w:val="Compact"/>
      </w:pPr>
      <w:r>
        <w:t xml:space="preserve">l'étude chiffrée est présentée au métier pour validation et budgétisation ;</w:t>
      </w:r>
    </w:p>
    <w:p>
      <w:pPr>
        <w:numPr>
          <w:ilvl w:val="0"/>
          <w:numId w:val="1051"/>
        </w:numPr>
        <w:pStyle w:val="Compact"/>
      </w:pPr>
      <w:r>
        <w:t xml:space="preserve">en cas de validation, une annexe à la convention de service est établie.</w:t>
      </w:r>
    </w:p>
    <w:p>
      <w:pPr>
        <w:pStyle w:val="FirstParagraph"/>
      </w:pPr>
      <w:r>
        <w:rPr>
          <w:iCs/>
          <w:i/>
        </w:rPr>
        <w:t xml:space="preserve">Exemples d'OSS : PDMA quasi nulle par journalisation continue, rétention prolongée, pré-production sauvegardée, sauvegarde renforcée d'un service SaaS.</w:t>
      </w:r>
    </w:p>
    <w:bookmarkEnd w:id="110"/>
    <w:bookmarkStart w:id="121" w:name="maîtrise-des-activités-de-sécurisation"/>
    <w:p>
      <w:pPr>
        <w:pStyle w:val="Heading1"/>
      </w:pPr>
      <w:r>
        <w:t xml:space="preserve">11. Maîtrise des activités de sécurisation</w:t>
      </w:r>
    </w:p>
    <w:bookmarkStart w:id="111" w:name="maîtrise-des-risques-liés-à-la-stratégie"/>
    <w:p>
      <w:pPr>
        <w:pStyle w:val="Heading2"/>
      </w:pPr>
      <w:r>
        <w:t xml:space="preserve">11.1 Maîtrise des risques liés à la stratégie</w:t>
      </w:r>
    </w:p>
    <w:p>
      <w:pPr>
        <w:pStyle w:val="FirstParagraph"/>
      </w:pPr>
      <w:r>
        <w:t xml:space="preserve">Toute activité organisationnelle ou opérationnelle comporte des risques. La matrice ci-dessous recense les principaux risques liés aux activités de la stratégie ; pour chacun, des métriques et un suivi adaptés sont à mettre en place.</w:t>
      </w:r>
    </w:p>
    <w:p>
      <w:pPr>
        <w:pStyle w:val="BodyText"/>
      </w:pPr>
      <w:r>
        <w:rPr>
          <w:bCs/>
          <w:b/>
        </w:rPr>
        <w:t xml:space="preserve">Échelle</w:t>
      </w:r>
      <w:r>
        <w:t xml:space="preserve"> </w:t>
      </w:r>
      <w:r>
        <w:t xml:space="preserve">— Criticité = Probabilité × Gravité, chacune notée de 1 (faible) à 3 (forte). Criticité de 1 (très faible) à 9 (certaine).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2780"/>
        <w:gridCol w:w="2763"/>
        <w:gridCol w:w="2850"/>
        <w:gridCol w:w="339"/>
        <w:gridCol w:w="339"/>
        <w:gridCol w:w="339"/>
      </w:tblGrid>
      <w:tr>
        <w:trPr>
          <w:tblHeader w:val="true"/>
          <w:tblHeader w:val="true"/>
          <w:cantSplit w:val="true"/>
        </w:trPr>
        <w:tc>
          <w:tcPr>
            <w:tcW w:w="2780" w:type="dxa"/>
            <w:shd w:val="clear" w:color="auto" w:fill="1F3A5F"/>
          </w:tcPr>
          <w:p>
            <w:pPr>
              <w:pStyle w:val="Compact"/>
              <w:spacing w:after="20" w:before="20"/>
              <w:jc w:val="left"/>
            </w:pPr>
            <w:r>
              <w:rPr>
                <w:b/>
                <w:color w:val="FFFFFF"/>
                <w:sz w:val="18"/>
              </w:rPr>
              <w:t xml:space="preserve">Activité</w:t>
            </w:r>
          </w:p>
        </w:tc>
        <w:tc>
          <w:tcPr>
            <w:tcW w:w="2763" w:type="dxa"/>
            <w:shd w:val="clear" w:color="auto" w:fill="1F3A5F"/>
          </w:tcPr>
          <w:p>
            <w:pPr>
              <w:pStyle w:val="Compact"/>
              <w:spacing w:after="20" w:before="20"/>
              <w:jc w:val="left"/>
            </w:pPr>
            <w:r>
              <w:rPr>
                <w:b/>
                <w:color w:val="FFFFFF"/>
                <w:sz w:val="18"/>
              </w:rPr>
              <w:t xml:space="preserve">Faiblesse</w:t>
            </w:r>
          </w:p>
        </w:tc>
        <w:tc>
          <w:tcPr>
            <w:tcW w:w="2850" w:type="dxa"/>
            <w:shd w:val="clear" w:color="auto" w:fill="1F3A5F"/>
          </w:tcPr>
          <w:p>
            <w:pPr>
              <w:pStyle w:val="Compact"/>
              <w:spacing w:after="20" w:before="20"/>
              <w:jc w:val="left"/>
            </w:pPr>
            <w:r>
              <w:rPr>
                <w:b/>
                <w:color w:val="FFFFFF"/>
                <w:sz w:val="18"/>
              </w:rPr>
              <w:t xml:space="preserve">Risque</w:t>
            </w:r>
          </w:p>
        </w:tc>
        <w:tc>
          <w:tcPr>
            <w:tcW w:w="339" w:type="dxa"/>
            <w:shd w:val="clear" w:color="auto" w:fill="1F3A5F"/>
          </w:tcPr>
          <w:p>
            <w:pPr>
              <w:pStyle w:val="Compact"/>
              <w:spacing w:after="20" w:before="20"/>
              <w:jc w:val="left"/>
            </w:pPr>
            <w:r>
              <w:rPr>
                <w:b/>
                <w:color w:val="FFFFFF"/>
                <w:sz w:val="18"/>
              </w:rPr>
              <w:t xml:space="preserve">P</w:t>
            </w:r>
          </w:p>
        </w:tc>
        <w:tc>
          <w:tcPr>
            <w:tcW w:w="339" w:type="dxa"/>
            <w:shd w:val="clear" w:color="auto" w:fill="1F3A5F"/>
          </w:tcPr>
          <w:p>
            <w:pPr>
              <w:pStyle w:val="Compact"/>
              <w:spacing w:after="20" w:before="20"/>
              <w:jc w:val="left"/>
            </w:pPr>
            <w:r>
              <w:rPr>
                <w:b/>
                <w:color w:val="FFFFFF"/>
                <w:sz w:val="18"/>
              </w:rPr>
              <w:t xml:space="preserve">G</w:t>
            </w:r>
          </w:p>
        </w:tc>
        <w:tc>
          <w:tcPr>
            <w:tcW w:w="339" w:type="dxa"/>
            <w:shd w:val="clear" w:color="auto" w:fill="1F3A5F"/>
          </w:tcPr>
          <w:p>
            <w:pPr>
              <w:pStyle w:val="Compact"/>
              <w:spacing w:after="20" w:before="20"/>
              <w:jc w:val="left"/>
            </w:pPr>
            <w:r>
              <w:rPr>
                <w:b/>
                <w:color w:val="FFFFFF"/>
                <w:sz w:val="18"/>
              </w:rPr>
              <w:t xml:space="preserve">C</w:t>
            </w:r>
          </w:p>
        </w:tc>
      </w:tr>
      <w:tr>
        <w:trPr>
          <w:cantSplit w:val="true"/>
        </w:trPr>
        <w:tc>
          <w:tcPr>
            <w:tcW w:w="2780" w:type="dxa"/>
            <w:shd w:val="clear" w:color="auto" w:fill="DCE3EC"/>
          </w:tcPr>
          <w:p>
            <w:pPr>
              <w:pStyle w:val="Compact"/>
              <w:spacing w:after="20" w:before="20"/>
              <w:jc w:val="left"/>
            </w:pPr>
            <w:r>
              <w:rPr>
                <w:bCs/>
                <w:b/>
                <w:sz w:val="18"/>
              </w:rPr>
              <w:t xml:space="preserve">Politique</w:t>
            </w:r>
          </w:p>
        </w:tc>
        <w:tc>
          <w:tcPr>
            <w:tcW w:w="2763" w:type="dxa"/>
            <w:shd w:val="clear" w:color="auto" w:fill="DCE3EC"/>
          </w:tcPr>
          <w:p>
            <w:pPr>
              <w:pStyle w:val="Compact"/>
              <w:spacing w:after="20" w:before="20"/>
            </w:pPr>
          </w:p>
        </w:tc>
        <w:tc>
          <w:tcPr>
            <w:tcW w:w="2850"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r>
      <w:tr>
        <w:trPr>
          <w:cantSplit w:val="true"/>
        </w:trPr>
        <w:tc>
          <w:tcPr>
            <w:tcW w:w="2780" w:type="dxa"/>
            <w:shd w:val="clear" w:color="auto" w:fill="EEF2F6"/>
          </w:tcPr>
          <w:p>
            <w:pPr>
              <w:pStyle w:val="Compact"/>
              <w:spacing w:after="20" w:before="20"/>
              <w:jc w:val="left"/>
            </w:pPr>
            <w:r>
              <w:rPr>
                <w:sz w:val="18"/>
              </w:rPr>
              <w:t xml:space="preserve">Mettre en place l'organisation et les moyens permettant le respect de la PSSI</w:t>
            </w:r>
          </w:p>
        </w:tc>
        <w:tc>
          <w:tcPr>
            <w:tcW w:w="2763" w:type="dxa"/>
            <w:shd w:val="clear" w:color="auto" w:fill="EEF2F6"/>
          </w:tcPr>
          <w:p>
            <w:pPr>
              <w:pStyle w:val="Compact"/>
              <w:spacing w:after="20" w:before="20"/>
              <w:jc w:val="left"/>
            </w:pPr>
            <w:r>
              <w:rPr>
                <w:sz w:val="18"/>
              </w:rPr>
              <w:t xml:space="preserve">Défaut de moyens</w:t>
            </w:r>
          </w:p>
        </w:tc>
        <w:tc>
          <w:tcPr>
            <w:tcW w:w="2850" w:type="dxa"/>
            <w:shd w:val="clear" w:color="auto" w:fill="EEF2F6"/>
          </w:tcPr>
          <w:p>
            <w:pPr>
              <w:pStyle w:val="Compact"/>
              <w:spacing w:after="20" w:before="20"/>
              <w:jc w:val="left"/>
            </w:pPr>
            <w:r>
              <w:rPr>
                <w:sz w:val="18"/>
              </w:rPr>
              <w:t xml:space="preserve">Retard de mise en œuvre ; MCO difficile</w:t>
            </w:r>
          </w:p>
        </w:tc>
        <w:tc>
          <w:tcPr>
            <w:tcW w:w="339" w:type="dxa"/>
            <w:shd w:val="clear" w:color="auto" w:fill="EEF2F6"/>
          </w:tcPr>
          <w:p>
            <w:pPr>
              <w:pStyle w:val="Compact"/>
              <w:spacing w:after="20" w:before="20"/>
              <w:jc w:val="left"/>
            </w:pPr>
            <w:r>
              <w:rPr>
                <w:sz w:val="18"/>
              </w:rPr>
              <w:t xml:space="preserve">1</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3</w:t>
            </w:r>
          </w:p>
        </w:tc>
      </w:tr>
      <w:tr>
        <w:trPr>
          <w:cantSplit w:val="true"/>
        </w:trPr>
        <w:tc>
          <w:tcPr>
            <w:tcW w:w="2780" w:type="dxa"/>
          </w:tcPr>
          <w:p>
            <w:pPr>
              <w:pStyle w:val="Compact"/>
              <w:spacing w:after="20" w:before="20"/>
              <w:jc w:val="left"/>
            </w:pPr>
            <w:r>
              <w:rPr>
                <w:sz w:val="18"/>
              </w:rPr>
              <w:t xml:space="preserve">Aligner la gouvernance et les moyens sur les besoins</w:t>
            </w:r>
          </w:p>
        </w:tc>
        <w:tc>
          <w:tcPr>
            <w:tcW w:w="2763" w:type="dxa"/>
          </w:tcPr>
          <w:p>
            <w:pPr>
              <w:pStyle w:val="Compact"/>
              <w:spacing w:after="20" w:before="20"/>
              <w:jc w:val="left"/>
            </w:pPr>
            <w:r>
              <w:rPr>
                <w:sz w:val="18"/>
              </w:rPr>
              <w:t xml:space="preserve">Multiplicité des canaux d'expression des besoins</w:t>
            </w:r>
          </w:p>
        </w:tc>
        <w:tc>
          <w:tcPr>
            <w:tcW w:w="2850" w:type="dxa"/>
          </w:tcPr>
          <w:p>
            <w:pPr>
              <w:pStyle w:val="Compact"/>
              <w:spacing w:after="20" w:before="20"/>
              <w:jc w:val="left"/>
            </w:pPr>
            <w:r>
              <w:rPr>
                <w:sz w:val="18"/>
              </w:rPr>
              <w:t xml:space="preserve">Amélioration continue difficile</w:t>
            </w:r>
          </w:p>
        </w:tc>
        <w:tc>
          <w:tcPr>
            <w:tcW w:w="339" w:type="dxa"/>
          </w:tcPr>
          <w:p>
            <w:pPr>
              <w:pStyle w:val="Compact"/>
              <w:spacing w:after="20" w:before="20"/>
              <w:jc w:val="left"/>
            </w:pPr>
            <w:r>
              <w:rPr>
                <w:sz w:val="18"/>
              </w:rPr>
              <w:t xml:space="preserve">2</w:t>
            </w:r>
          </w:p>
        </w:tc>
        <w:tc>
          <w:tcPr>
            <w:tcW w:w="339" w:type="dxa"/>
          </w:tcPr>
          <w:p>
            <w:pPr>
              <w:pStyle w:val="Compact"/>
              <w:spacing w:after="20" w:before="20"/>
              <w:jc w:val="left"/>
            </w:pPr>
            <w:r>
              <w:rPr>
                <w:sz w:val="18"/>
              </w:rPr>
              <w:t xml:space="preserve">2</w:t>
            </w:r>
          </w:p>
        </w:tc>
        <w:tc>
          <w:tcPr>
            <w:tcW w:w="339" w:type="dxa"/>
          </w:tcPr>
          <w:p>
            <w:pPr>
              <w:pStyle w:val="Compact"/>
              <w:spacing w:after="20" w:before="20"/>
              <w:jc w:val="left"/>
            </w:pPr>
            <w:r>
              <w:rPr>
                <w:sz w:val="18"/>
              </w:rPr>
              <w:t xml:space="preserve">4</w:t>
            </w:r>
          </w:p>
        </w:tc>
      </w:tr>
      <w:tr>
        <w:trPr>
          <w:cantSplit w:val="true"/>
        </w:trPr>
        <w:tc>
          <w:tcPr>
            <w:tcW w:w="2780" w:type="dxa"/>
            <w:shd w:val="clear" w:color="auto" w:fill="DCE3EC"/>
          </w:tcPr>
          <w:p>
            <w:pPr>
              <w:pStyle w:val="Compact"/>
              <w:spacing w:after="20" w:before="20"/>
              <w:jc w:val="left"/>
            </w:pPr>
            <w:r>
              <w:rPr>
                <w:bCs/>
                <w:b/>
                <w:sz w:val="18"/>
              </w:rPr>
              <w:t xml:space="preserve">Stratégie</w:t>
            </w:r>
          </w:p>
        </w:tc>
        <w:tc>
          <w:tcPr>
            <w:tcW w:w="2763" w:type="dxa"/>
            <w:shd w:val="clear" w:color="auto" w:fill="DCE3EC"/>
          </w:tcPr>
          <w:p>
            <w:pPr>
              <w:pStyle w:val="Compact"/>
              <w:spacing w:after="20" w:before="20"/>
            </w:pPr>
          </w:p>
        </w:tc>
        <w:tc>
          <w:tcPr>
            <w:tcW w:w="2850"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r>
      <w:tr>
        <w:trPr>
          <w:cantSplit w:val="true"/>
        </w:trPr>
        <w:tc>
          <w:tcPr>
            <w:tcW w:w="2780" w:type="dxa"/>
          </w:tcPr>
          <w:p>
            <w:pPr>
              <w:pStyle w:val="Compact"/>
              <w:spacing w:after="20" w:before="20"/>
              <w:jc w:val="left"/>
            </w:pPr>
            <w:r>
              <w:rPr>
                <w:sz w:val="18"/>
              </w:rPr>
              <w:t xml:space="preserve">Établir la stratégie</w:t>
            </w:r>
          </w:p>
        </w:tc>
        <w:tc>
          <w:tcPr>
            <w:tcW w:w="2763" w:type="dxa"/>
          </w:tcPr>
          <w:p>
            <w:pPr>
              <w:pStyle w:val="Compact"/>
              <w:spacing w:after="20" w:before="20"/>
              <w:jc w:val="left"/>
            </w:pPr>
            <w:r>
              <w:rPr>
                <w:sz w:val="18"/>
              </w:rPr>
              <w:t xml:space="preserve">Incompréhension des enjeux ; délais de validation et de mise en œuvre</w:t>
            </w:r>
          </w:p>
        </w:tc>
        <w:tc>
          <w:tcPr>
            <w:tcW w:w="2850" w:type="dxa"/>
          </w:tcPr>
          <w:p>
            <w:pPr>
              <w:pStyle w:val="Compact"/>
              <w:spacing w:after="20" w:before="20"/>
              <w:jc w:val="left"/>
            </w:pPr>
            <w:r>
              <w:rPr>
                <w:sz w:val="18"/>
              </w:rPr>
              <w:t xml:space="preserve">Retard de mise en œuvre</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bCs/>
                <w:b/>
                <w:sz w:val="18"/>
              </w:rPr>
              <w:t xml:space="preserve">9</w:t>
            </w:r>
          </w:p>
        </w:tc>
      </w:tr>
      <w:tr>
        <w:trPr>
          <w:cantSplit w:val="true"/>
        </w:trPr>
        <w:tc>
          <w:tcPr>
            <w:tcW w:w="2780" w:type="dxa"/>
            <w:shd w:val="clear" w:color="auto" w:fill="EEF2F6"/>
          </w:tcPr>
          <w:p>
            <w:pPr>
              <w:pStyle w:val="Compact"/>
              <w:spacing w:after="20" w:before="20"/>
              <w:jc w:val="left"/>
            </w:pPr>
            <w:r>
              <w:rPr>
                <w:sz w:val="18"/>
              </w:rPr>
              <w:t xml:space="preserve">Organiser le suivi de la stratégie</w:t>
            </w:r>
          </w:p>
        </w:tc>
        <w:tc>
          <w:tcPr>
            <w:tcW w:w="2763" w:type="dxa"/>
            <w:shd w:val="clear" w:color="auto" w:fill="EEF2F6"/>
          </w:tcPr>
          <w:p>
            <w:pPr>
              <w:pStyle w:val="Compact"/>
              <w:spacing w:after="20" w:before="20"/>
              <w:jc w:val="left"/>
            </w:pPr>
            <w:r>
              <w:rPr>
                <w:sz w:val="18"/>
              </w:rPr>
              <w:t xml:space="preserve">Manque de sensibilisation ou de disponibilité</w:t>
            </w:r>
          </w:p>
        </w:tc>
        <w:tc>
          <w:tcPr>
            <w:tcW w:w="2850" w:type="dxa"/>
            <w:shd w:val="clear" w:color="auto" w:fill="EEF2F6"/>
          </w:tcPr>
          <w:p>
            <w:pPr>
              <w:pStyle w:val="Compact"/>
              <w:spacing w:after="20" w:before="20"/>
              <w:jc w:val="left"/>
            </w:pPr>
            <w:r>
              <w:rPr>
                <w:sz w:val="18"/>
              </w:rPr>
              <w:t xml:space="preserve">Stratégie non appliquée</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6</w:t>
            </w:r>
          </w:p>
        </w:tc>
      </w:tr>
      <w:tr>
        <w:trPr>
          <w:cantSplit w:val="true"/>
        </w:trPr>
        <w:tc>
          <w:tcPr>
            <w:tcW w:w="2780" w:type="dxa"/>
          </w:tcPr>
          <w:p>
            <w:pPr>
              <w:pStyle w:val="Compact"/>
              <w:spacing w:after="20" w:before="20"/>
              <w:jc w:val="left"/>
            </w:pPr>
            <w:r>
              <w:rPr>
                <w:sz w:val="18"/>
              </w:rPr>
              <w:t xml:space="preserve">Veiller à l'application opérationnelle</w:t>
            </w:r>
          </w:p>
        </w:tc>
        <w:tc>
          <w:tcPr>
            <w:tcW w:w="2763" w:type="dxa"/>
          </w:tcPr>
          <w:p>
            <w:pPr>
              <w:pStyle w:val="Compact"/>
              <w:spacing w:after="20" w:before="20"/>
              <w:jc w:val="left"/>
            </w:pPr>
            <w:r>
              <w:rPr>
                <w:sz w:val="18"/>
              </w:rPr>
              <w:t xml:space="preserve">Défaut de communication sur les activités de sauvegarde et de restauration</w:t>
            </w:r>
          </w:p>
        </w:tc>
        <w:tc>
          <w:tcPr>
            <w:tcW w:w="2850" w:type="dxa"/>
          </w:tcPr>
          <w:p>
            <w:pPr>
              <w:pStyle w:val="Compact"/>
              <w:spacing w:after="20" w:before="20"/>
              <w:jc w:val="left"/>
            </w:pPr>
            <w:r>
              <w:rPr>
                <w:sz w:val="18"/>
              </w:rPr>
              <w:t xml:space="preserve">MCO difficile</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bCs/>
                <w:b/>
                <w:sz w:val="18"/>
              </w:rPr>
              <w:t xml:space="preserve">9</w:t>
            </w:r>
          </w:p>
        </w:tc>
      </w:tr>
      <w:tr>
        <w:trPr>
          <w:cantSplit w:val="true"/>
        </w:trPr>
        <w:tc>
          <w:tcPr>
            <w:tcW w:w="2780" w:type="dxa"/>
            <w:shd w:val="clear" w:color="auto" w:fill="EEF2F6"/>
          </w:tcPr>
          <w:p>
            <w:pPr>
              <w:pStyle w:val="Compact"/>
              <w:spacing w:after="20" w:before="20"/>
              <w:jc w:val="left"/>
            </w:pPr>
            <w:r>
              <w:rPr>
                <w:sz w:val="18"/>
              </w:rPr>
              <w:t xml:space="preserve">Établir les critères de disponibilité des services métier</w:t>
            </w:r>
          </w:p>
        </w:tc>
        <w:tc>
          <w:tcPr>
            <w:tcW w:w="2763" w:type="dxa"/>
            <w:shd w:val="clear" w:color="auto" w:fill="EEF2F6"/>
          </w:tcPr>
          <w:p>
            <w:pPr>
              <w:pStyle w:val="Compact"/>
              <w:spacing w:after="20" w:before="20"/>
              <w:jc w:val="left"/>
            </w:pPr>
            <w:r>
              <w:rPr>
                <w:sz w:val="18"/>
              </w:rPr>
              <w:t xml:space="preserve">Attentes de disponibilité fluctuantes</w:t>
            </w:r>
          </w:p>
        </w:tc>
        <w:tc>
          <w:tcPr>
            <w:tcW w:w="2850" w:type="dxa"/>
            <w:shd w:val="clear" w:color="auto" w:fill="EEF2F6"/>
          </w:tcPr>
          <w:p>
            <w:pPr>
              <w:pStyle w:val="Compact"/>
              <w:spacing w:after="20" w:before="20"/>
              <w:jc w:val="left"/>
            </w:pPr>
            <w:r>
              <w:rPr>
                <w:sz w:val="18"/>
              </w:rPr>
              <w:t xml:space="preserve">Surévaluation des besoins</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4</w:t>
            </w:r>
          </w:p>
        </w:tc>
      </w:tr>
      <w:tr>
        <w:trPr>
          <w:cantSplit w:val="true"/>
        </w:trPr>
        <w:tc>
          <w:tcPr>
            <w:tcW w:w="2780" w:type="dxa"/>
            <w:shd w:val="clear" w:color="auto" w:fill="DCE3EC"/>
          </w:tcPr>
          <w:p>
            <w:pPr>
              <w:pStyle w:val="Compact"/>
              <w:spacing w:after="20" w:before="20"/>
              <w:jc w:val="left"/>
            </w:pPr>
            <w:r>
              <w:rPr>
                <w:bCs/>
                <w:b/>
                <w:sz w:val="18"/>
              </w:rPr>
              <w:t xml:space="preserve">Programme</w:t>
            </w:r>
          </w:p>
        </w:tc>
        <w:tc>
          <w:tcPr>
            <w:tcW w:w="2763" w:type="dxa"/>
            <w:shd w:val="clear" w:color="auto" w:fill="DCE3EC"/>
          </w:tcPr>
          <w:p>
            <w:pPr>
              <w:pStyle w:val="Compact"/>
              <w:spacing w:after="20" w:before="20"/>
            </w:pPr>
          </w:p>
        </w:tc>
        <w:tc>
          <w:tcPr>
            <w:tcW w:w="2850"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r>
      <w:tr>
        <w:trPr>
          <w:cantSplit w:val="true"/>
        </w:trPr>
        <w:tc>
          <w:tcPr>
            <w:tcW w:w="2780" w:type="dxa"/>
            <w:shd w:val="clear" w:color="auto" w:fill="EEF2F6"/>
          </w:tcPr>
          <w:p>
            <w:pPr>
              <w:pStyle w:val="Compact"/>
              <w:spacing w:after="20" w:before="20"/>
              <w:jc w:val="left"/>
            </w:pPr>
            <w:r>
              <w:rPr>
                <w:sz w:val="18"/>
              </w:rPr>
              <w:t xml:space="preserve">Aligner les programmes de sécurisation</w:t>
            </w:r>
          </w:p>
        </w:tc>
        <w:tc>
          <w:tcPr>
            <w:tcW w:w="2763" w:type="dxa"/>
            <w:shd w:val="clear" w:color="auto" w:fill="EEF2F6"/>
          </w:tcPr>
          <w:p>
            <w:pPr>
              <w:pStyle w:val="Compact"/>
              <w:spacing w:after="20" w:before="20"/>
              <w:jc w:val="left"/>
            </w:pPr>
            <w:r>
              <w:rPr>
                <w:sz w:val="18"/>
              </w:rPr>
              <w:t xml:space="preserve">Besoins d'évolution mal identifiés ; charge et planning non absorbables</w:t>
            </w:r>
          </w:p>
        </w:tc>
        <w:tc>
          <w:tcPr>
            <w:tcW w:w="2850" w:type="dxa"/>
            <w:shd w:val="clear" w:color="auto" w:fill="EEF2F6"/>
          </w:tcPr>
          <w:p>
            <w:pPr>
              <w:pStyle w:val="Compact"/>
              <w:spacing w:after="20" w:before="20"/>
              <w:jc w:val="left"/>
            </w:pPr>
            <w:r>
              <w:rPr>
                <w:sz w:val="18"/>
              </w:rPr>
              <w:t xml:space="preserve">Niveau de sécurisation en retard sur le besoin</w:t>
            </w:r>
          </w:p>
        </w:tc>
        <w:tc>
          <w:tcPr>
            <w:tcW w:w="339" w:type="dxa"/>
            <w:shd w:val="clear" w:color="auto" w:fill="EEF2F6"/>
          </w:tcPr>
          <w:p>
            <w:pPr>
              <w:pStyle w:val="Compact"/>
              <w:spacing w:after="20" w:before="20"/>
              <w:jc w:val="left"/>
            </w:pPr>
            <w:r>
              <w:rPr>
                <w:sz w:val="18"/>
              </w:rPr>
              <w:t xml:space="preserve">1</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3</w:t>
            </w:r>
          </w:p>
        </w:tc>
      </w:tr>
      <w:tr>
        <w:trPr>
          <w:cantSplit w:val="true"/>
        </w:trPr>
        <w:tc>
          <w:tcPr>
            <w:tcW w:w="2780" w:type="dxa"/>
          </w:tcPr>
          <w:p>
            <w:pPr>
              <w:pStyle w:val="Compact"/>
              <w:spacing w:after="20" w:before="20"/>
              <w:jc w:val="left"/>
            </w:pPr>
            <w:r>
              <w:rPr>
                <w:sz w:val="18"/>
              </w:rPr>
              <w:t xml:space="preserve">Informer le DIO et le RPCI des évolutions planifiées</w:t>
            </w:r>
          </w:p>
        </w:tc>
        <w:tc>
          <w:tcPr>
            <w:tcW w:w="2763" w:type="dxa"/>
          </w:tcPr>
          <w:p>
            <w:pPr>
              <w:pStyle w:val="Compact"/>
              <w:spacing w:after="20" w:before="20"/>
              <w:jc w:val="left"/>
            </w:pPr>
            <w:r>
              <w:rPr>
                <w:sz w:val="18"/>
              </w:rPr>
              <w:t xml:space="preserve">Stratégie non mise à jour</w:t>
            </w:r>
          </w:p>
        </w:tc>
        <w:tc>
          <w:tcPr>
            <w:tcW w:w="2850" w:type="dxa"/>
          </w:tcPr>
          <w:p>
            <w:pPr>
              <w:pStyle w:val="Compact"/>
              <w:spacing w:after="20" w:before="20"/>
              <w:jc w:val="left"/>
            </w:pPr>
            <w:r>
              <w:rPr>
                <w:sz w:val="18"/>
              </w:rPr>
              <w:t xml:space="preserve">Sécurisation inadaptée</w:t>
            </w:r>
          </w:p>
        </w:tc>
        <w:tc>
          <w:tcPr>
            <w:tcW w:w="339" w:type="dxa"/>
          </w:tcPr>
          <w:p>
            <w:pPr>
              <w:pStyle w:val="Compact"/>
              <w:spacing w:after="20" w:before="20"/>
              <w:jc w:val="left"/>
            </w:pPr>
            <w:r>
              <w:rPr>
                <w:sz w:val="18"/>
              </w:rPr>
              <w:t xml:space="preserve">1</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3</w:t>
            </w:r>
          </w:p>
        </w:tc>
      </w:tr>
      <w:tr>
        <w:trPr>
          <w:cantSplit w:val="true"/>
        </w:trPr>
        <w:tc>
          <w:tcPr>
            <w:tcW w:w="2780" w:type="dxa"/>
            <w:shd w:val="clear" w:color="auto" w:fill="EEF2F6"/>
          </w:tcPr>
          <w:p>
            <w:pPr>
              <w:pStyle w:val="Compact"/>
              <w:spacing w:after="20" w:before="20"/>
              <w:jc w:val="left"/>
            </w:pPr>
            <w:r>
              <w:rPr>
                <w:sz w:val="18"/>
              </w:rPr>
              <w:t xml:space="preserve">Intégrer les besoins de continuité dans le programme d'architecture</w:t>
            </w:r>
          </w:p>
        </w:tc>
        <w:tc>
          <w:tcPr>
            <w:tcW w:w="2763" w:type="dxa"/>
            <w:shd w:val="clear" w:color="auto" w:fill="EEF2F6"/>
          </w:tcPr>
          <w:p>
            <w:pPr>
              <w:pStyle w:val="Compact"/>
              <w:spacing w:after="20" w:before="20"/>
              <w:jc w:val="left"/>
            </w:pPr>
            <w:r>
              <w:rPr>
                <w:sz w:val="18"/>
              </w:rPr>
              <w:t xml:space="preserve">Planification pluriannuelle</w:t>
            </w:r>
          </w:p>
        </w:tc>
        <w:tc>
          <w:tcPr>
            <w:tcW w:w="2850" w:type="dxa"/>
            <w:shd w:val="clear" w:color="auto" w:fill="EEF2F6"/>
          </w:tcPr>
          <w:p>
            <w:pPr>
              <w:pStyle w:val="Compact"/>
              <w:spacing w:after="20" w:before="20"/>
              <w:jc w:val="left"/>
            </w:pPr>
            <w:r>
              <w:rPr>
                <w:sz w:val="18"/>
              </w:rPr>
              <w:t xml:space="preserve">Surdimensionnement des moyens hors haute disponibilité</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4</w:t>
            </w:r>
          </w:p>
        </w:tc>
      </w:tr>
      <w:tr>
        <w:trPr>
          <w:cantSplit w:val="true"/>
        </w:trPr>
        <w:tc>
          <w:tcPr>
            <w:tcW w:w="2780" w:type="dxa"/>
          </w:tcPr>
          <w:p>
            <w:pPr>
              <w:pStyle w:val="Compact"/>
              <w:spacing w:after="20" w:before="20"/>
              <w:jc w:val="left"/>
            </w:pPr>
            <w:r>
              <w:rPr>
                <w:sz w:val="18"/>
              </w:rPr>
              <w:t xml:space="preserve">Concevoir les évolutions de l'infrastructure</w:t>
            </w:r>
          </w:p>
        </w:tc>
        <w:tc>
          <w:tcPr>
            <w:tcW w:w="2763" w:type="dxa"/>
          </w:tcPr>
          <w:p>
            <w:pPr>
              <w:pStyle w:val="Compact"/>
              <w:spacing w:after="20" w:before="20"/>
              <w:jc w:val="left"/>
            </w:pPr>
            <w:r>
              <w:rPr>
                <w:sz w:val="18"/>
              </w:rPr>
              <w:t xml:space="preserve">Besoins de continuité non pris en compte</w:t>
            </w:r>
          </w:p>
        </w:tc>
        <w:tc>
          <w:tcPr>
            <w:tcW w:w="2850" w:type="dxa"/>
          </w:tcPr>
          <w:p>
            <w:pPr>
              <w:pStyle w:val="Compact"/>
              <w:spacing w:after="20" w:before="20"/>
              <w:jc w:val="left"/>
            </w:pPr>
            <w:r>
              <w:rPr>
                <w:sz w:val="18"/>
              </w:rPr>
              <w:t xml:space="preserve">Continuité non assurée par la haute disponibilité</w:t>
            </w:r>
          </w:p>
        </w:tc>
        <w:tc>
          <w:tcPr>
            <w:tcW w:w="339" w:type="dxa"/>
          </w:tcPr>
          <w:p>
            <w:pPr>
              <w:pStyle w:val="Compact"/>
              <w:spacing w:after="20" w:before="20"/>
              <w:jc w:val="left"/>
            </w:pPr>
            <w:r>
              <w:rPr>
                <w:sz w:val="18"/>
              </w:rPr>
              <w:t xml:space="preserve">2</w:t>
            </w:r>
          </w:p>
        </w:tc>
        <w:tc>
          <w:tcPr>
            <w:tcW w:w="339" w:type="dxa"/>
          </w:tcPr>
          <w:p>
            <w:pPr>
              <w:pStyle w:val="Compact"/>
              <w:spacing w:after="20" w:before="20"/>
              <w:jc w:val="left"/>
            </w:pPr>
            <w:r>
              <w:rPr>
                <w:sz w:val="18"/>
              </w:rPr>
              <w:t xml:space="preserve">2</w:t>
            </w:r>
          </w:p>
        </w:tc>
        <w:tc>
          <w:tcPr>
            <w:tcW w:w="339" w:type="dxa"/>
          </w:tcPr>
          <w:p>
            <w:pPr>
              <w:pStyle w:val="Compact"/>
              <w:spacing w:after="20" w:before="20"/>
              <w:jc w:val="left"/>
            </w:pPr>
            <w:r>
              <w:rPr>
                <w:sz w:val="18"/>
              </w:rPr>
              <w:t xml:space="preserve">4</w:t>
            </w:r>
          </w:p>
        </w:tc>
      </w:tr>
      <w:tr>
        <w:trPr>
          <w:cantSplit w:val="true"/>
        </w:trPr>
        <w:tc>
          <w:tcPr>
            <w:tcW w:w="2780" w:type="dxa"/>
            <w:shd w:val="clear" w:color="auto" w:fill="DCE3EC"/>
          </w:tcPr>
          <w:p>
            <w:pPr>
              <w:pStyle w:val="Compact"/>
              <w:spacing w:after="20" w:before="20"/>
              <w:jc w:val="left"/>
            </w:pPr>
            <w:r>
              <w:rPr>
                <w:bCs/>
                <w:b/>
                <w:sz w:val="18"/>
              </w:rPr>
              <w:t xml:space="preserve">Opérations</w:t>
            </w:r>
          </w:p>
        </w:tc>
        <w:tc>
          <w:tcPr>
            <w:tcW w:w="2763" w:type="dxa"/>
            <w:shd w:val="clear" w:color="auto" w:fill="DCE3EC"/>
          </w:tcPr>
          <w:p>
            <w:pPr>
              <w:pStyle w:val="Compact"/>
              <w:spacing w:after="20" w:before="20"/>
            </w:pPr>
          </w:p>
        </w:tc>
        <w:tc>
          <w:tcPr>
            <w:tcW w:w="2850"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r>
      <w:tr>
        <w:trPr>
          <w:cantSplit w:val="true"/>
        </w:trPr>
        <w:tc>
          <w:tcPr>
            <w:tcW w:w="2780" w:type="dxa"/>
          </w:tcPr>
          <w:p>
            <w:pPr>
              <w:pStyle w:val="Compact"/>
              <w:spacing w:after="20" w:before="20"/>
              <w:jc w:val="left"/>
            </w:pPr>
            <w:r>
              <w:rPr>
                <w:sz w:val="18"/>
              </w:rPr>
              <w:t xml:space="preserve">Intégrer les principes et règles de la stratégie</w:t>
            </w:r>
          </w:p>
        </w:tc>
        <w:tc>
          <w:tcPr>
            <w:tcW w:w="2763" w:type="dxa"/>
          </w:tcPr>
          <w:p>
            <w:pPr>
              <w:pStyle w:val="Compact"/>
              <w:spacing w:after="20" w:before="20"/>
              <w:jc w:val="left"/>
            </w:pPr>
            <w:r>
              <w:rPr>
                <w:sz w:val="18"/>
              </w:rPr>
              <w:t xml:space="preserve">Sauvegarde et restauration non alignées sur la stratégie</w:t>
            </w:r>
          </w:p>
        </w:tc>
        <w:tc>
          <w:tcPr>
            <w:tcW w:w="2850" w:type="dxa"/>
          </w:tcPr>
          <w:p>
            <w:pPr>
              <w:pStyle w:val="Compact"/>
              <w:spacing w:after="20" w:before="20"/>
              <w:jc w:val="left"/>
            </w:pPr>
            <w:r>
              <w:rPr>
                <w:sz w:val="18"/>
              </w:rPr>
              <w:t xml:space="preserve">Sécurisation pilotée par la technique</w:t>
            </w:r>
          </w:p>
        </w:tc>
        <w:tc>
          <w:tcPr>
            <w:tcW w:w="339" w:type="dxa"/>
          </w:tcPr>
          <w:p>
            <w:pPr>
              <w:pStyle w:val="Compact"/>
              <w:spacing w:after="20" w:before="20"/>
              <w:jc w:val="left"/>
            </w:pPr>
            <w:r>
              <w:rPr>
                <w:sz w:val="18"/>
              </w:rPr>
              <w:t xml:space="preserve">2</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6</w:t>
            </w:r>
          </w:p>
        </w:tc>
      </w:tr>
      <w:tr>
        <w:trPr>
          <w:cantSplit w:val="true"/>
        </w:trPr>
        <w:tc>
          <w:tcPr>
            <w:tcW w:w="2780" w:type="dxa"/>
            <w:shd w:val="clear" w:color="auto" w:fill="EEF2F6"/>
          </w:tcPr>
          <w:p>
            <w:pPr>
              <w:pStyle w:val="Compact"/>
              <w:spacing w:after="20" w:before="20"/>
              <w:jc w:val="left"/>
            </w:pPr>
            <w:r>
              <w:rPr>
                <w:sz w:val="18"/>
              </w:rPr>
              <w:t xml:space="preserve">Traduire la stratégie en méthodes et procédures</w:t>
            </w:r>
          </w:p>
        </w:tc>
        <w:tc>
          <w:tcPr>
            <w:tcW w:w="2763" w:type="dxa"/>
            <w:shd w:val="clear" w:color="auto" w:fill="EEF2F6"/>
          </w:tcPr>
          <w:p>
            <w:pPr>
              <w:pStyle w:val="Compact"/>
              <w:spacing w:after="20" w:before="20"/>
              <w:jc w:val="left"/>
            </w:pPr>
            <w:r>
              <w:rPr>
                <w:sz w:val="18"/>
              </w:rPr>
              <w:t xml:space="preserve">Manque de ressources et de moyens</w:t>
            </w:r>
          </w:p>
        </w:tc>
        <w:tc>
          <w:tcPr>
            <w:tcW w:w="2850" w:type="dxa"/>
            <w:shd w:val="clear" w:color="auto" w:fill="EEF2F6"/>
          </w:tcPr>
          <w:p>
            <w:pPr>
              <w:pStyle w:val="Compact"/>
              <w:spacing w:after="20" w:before="20"/>
              <w:jc w:val="left"/>
            </w:pPr>
            <w:r>
              <w:rPr>
                <w:sz w:val="18"/>
              </w:rPr>
              <w:t xml:space="preserve">Procédures incomplètes ou non conformes à la stratégie</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6</w:t>
            </w:r>
          </w:p>
        </w:tc>
      </w:tr>
      <w:tr>
        <w:trPr>
          <w:cantSplit w:val="true"/>
        </w:trPr>
        <w:tc>
          <w:tcPr>
            <w:tcW w:w="2780" w:type="dxa"/>
          </w:tcPr>
          <w:p>
            <w:pPr>
              <w:pStyle w:val="Compact"/>
              <w:spacing w:after="20" w:before="20"/>
              <w:jc w:val="left"/>
            </w:pPr>
            <w:r>
              <w:rPr>
                <w:sz w:val="18"/>
              </w:rPr>
              <w:t xml:space="preserve">Veiller au respect des méthodes et règles</w:t>
            </w:r>
          </w:p>
        </w:tc>
        <w:tc>
          <w:tcPr>
            <w:tcW w:w="2763" w:type="dxa"/>
          </w:tcPr>
          <w:p>
            <w:pPr>
              <w:pStyle w:val="Compact"/>
              <w:spacing w:after="20" w:before="20"/>
              <w:jc w:val="left"/>
            </w:pPr>
            <w:r>
              <w:rPr>
                <w:sz w:val="18"/>
              </w:rPr>
              <w:t xml:space="preserve">Manque de disponibilité</w:t>
            </w:r>
          </w:p>
        </w:tc>
        <w:tc>
          <w:tcPr>
            <w:tcW w:w="2850" w:type="dxa"/>
          </w:tcPr>
          <w:p>
            <w:pPr>
              <w:pStyle w:val="Compact"/>
              <w:spacing w:after="20" w:before="20"/>
              <w:jc w:val="left"/>
            </w:pPr>
            <w:r>
              <w:rPr>
                <w:sz w:val="18"/>
              </w:rPr>
              <w:t xml:space="preserve">Méconnaissance du niveau réel de sécurisation</w:t>
            </w:r>
          </w:p>
        </w:tc>
        <w:tc>
          <w:tcPr>
            <w:tcW w:w="339" w:type="dxa"/>
          </w:tcPr>
          <w:p>
            <w:pPr>
              <w:pStyle w:val="Compact"/>
              <w:spacing w:after="20" w:before="20"/>
              <w:jc w:val="left"/>
            </w:pPr>
            <w:r>
              <w:rPr>
                <w:sz w:val="18"/>
              </w:rPr>
              <w:t xml:space="preserve">2</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6</w:t>
            </w:r>
          </w:p>
        </w:tc>
      </w:tr>
      <w:tr>
        <w:trPr>
          <w:cantSplit w:val="true"/>
        </w:trPr>
        <w:tc>
          <w:tcPr>
            <w:tcW w:w="2780" w:type="dxa"/>
            <w:shd w:val="clear" w:color="auto" w:fill="EEF2F6"/>
          </w:tcPr>
          <w:p>
            <w:pPr>
              <w:pStyle w:val="Compact"/>
              <w:spacing w:after="20" w:before="20"/>
              <w:jc w:val="left"/>
            </w:pPr>
            <w:r>
              <w:rPr>
                <w:sz w:val="18"/>
              </w:rPr>
              <w:t xml:space="preserve">Mettre en œuvre les méthodes</w:t>
            </w:r>
          </w:p>
        </w:tc>
        <w:tc>
          <w:tcPr>
            <w:tcW w:w="2763" w:type="dxa"/>
            <w:shd w:val="clear" w:color="auto" w:fill="EEF2F6"/>
          </w:tcPr>
          <w:p>
            <w:pPr>
              <w:pStyle w:val="Compact"/>
              <w:spacing w:after="20" w:before="20"/>
              <w:jc w:val="left"/>
            </w:pPr>
            <w:r>
              <w:rPr>
                <w:sz w:val="18"/>
              </w:rPr>
              <w:t xml:space="preserve">Manque de ressources et de moyens</w:t>
            </w:r>
          </w:p>
        </w:tc>
        <w:tc>
          <w:tcPr>
            <w:tcW w:w="2850" w:type="dxa"/>
            <w:shd w:val="clear" w:color="auto" w:fill="EEF2F6"/>
          </w:tcPr>
          <w:p>
            <w:pPr>
              <w:pStyle w:val="Compact"/>
              <w:spacing w:after="20" w:before="20"/>
              <w:jc w:val="left"/>
            </w:pPr>
            <w:r>
              <w:rPr>
                <w:sz w:val="18"/>
              </w:rPr>
              <w:t xml:space="preserve">Méconnaissance du niveau de sécurisation ; sécurisation pilotée par la technique</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6</w:t>
            </w:r>
          </w:p>
        </w:tc>
      </w:tr>
      <w:tr>
        <w:trPr>
          <w:cantSplit w:val="true"/>
        </w:trPr>
        <w:tc>
          <w:tcPr>
            <w:tcW w:w="2780" w:type="dxa"/>
          </w:tcPr>
          <w:p>
            <w:pPr>
              <w:pStyle w:val="Compact"/>
              <w:spacing w:after="20" w:before="20"/>
              <w:jc w:val="left"/>
            </w:pPr>
            <w:r>
              <w:rPr>
                <w:sz w:val="18"/>
              </w:rPr>
              <w:t xml:space="preserve">Établir les procédures du plan de sauvegarde</w:t>
            </w:r>
          </w:p>
        </w:tc>
        <w:tc>
          <w:tcPr>
            <w:tcW w:w="2763" w:type="dxa"/>
          </w:tcPr>
          <w:p>
            <w:pPr>
              <w:pStyle w:val="Compact"/>
              <w:spacing w:after="20" w:before="20"/>
              <w:jc w:val="left"/>
            </w:pPr>
            <w:r>
              <w:rPr>
                <w:sz w:val="18"/>
              </w:rPr>
              <w:t xml:space="preserve">Manque de ressources et de moyens</w:t>
            </w:r>
          </w:p>
        </w:tc>
        <w:tc>
          <w:tcPr>
            <w:tcW w:w="2850" w:type="dxa"/>
          </w:tcPr>
          <w:p>
            <w:pPr>
              <w:pStyle w:val="Compact"/>
              <w:spacing w:after="20" w:before="20"/>
              <w:jc w:val="left"/>
            </w:pPr>
            <w:r>
              <w:rPr>
                <w:sz w:val="18"/>
              </w:rPr>
              <w:t xml:space="preserve">Non-respect de la PDMA ou de la DMIA</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2</w:t>
            </w:r>
          </w:p>
        </w:tc>
        <w:tc>
          <w:tcPr>
            <w:tcW w:w="339" w:type="dxa"/>
          </w:tcPr>
          <w:p>
            <w:pPr>
              <w:pStyle w:val="Compact"/>
              <w:spacing w:after="20" w:before="20"/>
              <w:jc w:val="left"/>
            </w:pPr>
            <w:r>
              <w:rPr>
                <w:sz w:val="18"/>
              </w:rPr>
              <w:t xml:space="preserve">6</w:t>
            </w:r>
          </w:p>
        </w:tc>
      </w:tr>
      <w:tr>
        <w:trPr>
          <w:cantSplit w:val="true"/>
        </w:trPr>
        <w:tc>
          <w:tcPr>
            <w:tcW w:w="2780" w:type="dxa"/>
            <w:shd w:val="clear" w:color="auto" w:fill="EEF2F6"/>
          </w:tcPr>
          <w:p>
            <w:pPr>
              <w:pStyle w:val="Compact"/>
              <w:spacing w:after="20" w:before="20"/>
              <w:jc w:val="left"/>
            </w:pPr>
            <w:r>
              <w:rPr>
                <w:sz w:val="18"/>
              </w:rPr>
              <w:t xml:space="preserve">Réaliser les restaurations à la demande</w:t>
            </w:r>
          </w:p>
        </w:tc>
        <w:tc>
          <w:tcPr>
            <w:tcW w:w="2763" w:type="dxa"/>
            <w:shd w:val="clear" w:color="auto" w:fill="EEF2F6"/>
          </w:tcPr>
          <w:p>
            <w:pPr>
              <w:pStyle w:val="Compact"/>
              <w:spacing w:after="20" w:before="20"/>
              <w:jc w:val="left"/>
            </w:pPr>
            <w:r>
              <w:rPr>
                <w:sz w:val="18"/>
              </w:rPr>
              <w:t xml:space="preserve">Sauvegardes indisponibles</w:t>
            </w:r>
          </w:p>
        </w:tc>
        <w:tc>
          <w:tcPr>
            <w:tcW w:w="2850" w:type="dxa"/>
            <w:shd w:val="clear" w:color="auto" w:fill="EEF2F6"/>
          </w:tcPr>
          <w:p>
            <w:pPr>
              <w:pStyle w:val="Compact"/>
              <w:spacing w:after="20" w:before="20"/>
              <w:jc w:val="left"/>
            </w:pPr>
            <w:r>
              <w:rPr>
                <w:sz w:val="18"/>
              </w:rPr>
              <w:t xml:space="preserve">Non-respect de la PDMA ou de la DMIA</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6</w:t>
            </w:r>
          </w:p>
        </w:tc>
      </w:tr>
      <w:tr>
        <w:trPr>
          <w:cantSplit w:val="true"/>
        </w:trPr>
        <w:tc>
          <w:tcPr>
            <w:tcW w:w="2780" w:type="dxa"/>
          </w:tcPr>
          <w:p>
            <w:pPr>
              <w:pStyle w:val="Compact"/>
              <w:spacing w:after="20" w:before="20"/>
              <w:jc w:val="left"/>
            </w:pPr>
            <w:r>
              <w:rPr>
                <w:sz w:val="18"/>
              </w:rPr>
              <w:t xml:space="preserve">Garantir l'opérabilité des moyens</w:t>
            </w:r>
          </w:p>
        </w:tc>
        <w:tc>
          <w:tcPr>
            <w:tcW w:w="2763" w:type="dxa"/>
          </w:tcPr>
          <w:p>
            <w:pPr>
              <w:pStyle w:val="Compact"/>
              <w:spacing w:after="20" w:before="20"/>
              <w:jc w:val="left"/>
            </w:pPr>
            <w:r>
              <w:rPr>
                <w:sz w:val="18"/>
              </w:rPr>
              <w:t xml:space="preserve">Difficultés de restauration</w:t>
            </w:r>
          </w:p>
        </w:tc>
        <w:tc>
          <w:tcPr>
            <w:tcW w:w="2850" w:type="dxa"/>
          </w:tcPr>
          <w:p>
            <w:pPr>
              <w:pStyle w:val="Compact"/>
              <w:spacing w:after="20" w:before="20"/>
              <w:jc w:val="left"/>
            </w:pPr>
            <w:r>
              <w:rPr>
                <w:sz w:val="18"/>
              </w:rPr>
              <w:t xml:space="preserve">Non-respect de la DMIA</w:t>
            </w:r>
          </w:p>
        </w:tc>
        <w:tc>
          <w:tcPr>
            <w:tcW w:w="339" w:type="dxa"/>
          </w:tcPr>
          <w:p>
            <w:pPr>
              <w:pStyle w:val="Compact"/>
              <w:spacing w:after="20" w:before="20"/>
              <w:jc w:val="left"/>
            </w:pPr>
            <w:r>
              <w:rPr>
                <w:sz w:val="18"/>
              </w:rPr>
              <w:t xml:space="preserve">1</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3</w:t>
            </w:r>
          </w:p>
        </w:tc>
      </w:tr>
      <w:tr>
        <w:trPr>
          <w:cantSplit w:val="true"/>
        </w:trPr>
        <w:tc>
          <w:tcPr>
            <w:tcW w:w="2780" w:type="dxa"/>
            <w:shd w:val="clear" w:color="auto" w:fill="EEF2F6"/>
          </w:tcPr>
          <w:p>
            <w:pPr>
              <w:pStyle w:val="Compact"/>
              <w:spacing w:after="20" w:before="20"/>
              <w:jc w:val="left"/>
            </w:pPr>
            <w:r>
              <w:rPr>
                <w:sz w:val="18"/>
              </w:rPr>
              <w:t xml:space="preserve">Protéger l'infrastructure de sauvegarde</w:t>
            </w:r>
            <w:r>
              <w:rPr>
                <w:sz w:val="18"/>
              </w:rPr>
              <w:t xml:space="preserve"> </w:t>
            </w:r>
            <w:r>
              <w:rPr>
                <w:iCs/>
                <w:i/>
                <w:sz w:val="18"/>
              </w:rPr>
              <w:t xml:space="preserve">(ajout)</w:t>
            </w:r>
          </w:p>
        </w:tc>
        <w:tc>
          <w:tcPr>
            <w:tcW w:w="2763" w:type="dxa"/>
            <w:shd w:val="clear" w:color="auto" w:fill="EEF2F6"/>
          </w:tcPr>
          <w:p>
            <w:pPr>
              <w:pStyle w:val="Compact"/>
              <w:spacing w:after="20" w:before="20"/>
              <w:jc w:val="left"/>
            </w:pPr>
            <w:r>
              <w:rPr>
                <w:sz w:val="18"/>
              </w:rPr>
              <w:t xml:space="preserve">Administration partagée avec la production ; absence d'immutabilité</w:t>
            </w:r>
          </w:p>
        </w:tc>
        <w:tc>
          <w:tcPr>
            <w:tcW w:w="2850" w:type="dxa"/>
            <w:shd w:val="clear" w:color="auto" w:fill="EEF2F6"/>
          </w:tcPr>
          <w:p>
            <w:pPr>
              <w:pStyle w:val="Compact"/>
              <w:spacing w:after="20" w:before="20"/>
              <w:jc w:val="left"/>
            </w:pPr>
            <w:r>
              <w:rPr>
                <w:sz w:val="18"/>
              </w:rPr>
              <w:t xml:space="preserve">Destruction des sauvegardes lors d'une cyberattaque</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6</w:t>
            </w:r>
          </w:p>
        </w:tc>
      </w:tr>
      <w:tr>
        <w:trPr>
          <w:cantSplit w:val="true"/>
        </w:trPr>
        <w:tc>
          <w:tcPr>
            <w:tcW w:w="2780" w:type="dxa"/>
            <w:shd w:val="clear" w:color="auto" w:fill="DCE3EC"/>
          </w:tcPr>
          <w:p>
            <w:pPr>
              <w:pStyle w:val="Compact"/>
              <w:spacing w:after="20" w:before="20"/>
              <w:jc w:val="left"/>
            </w:pPr>
            <w:r>
              <w:rPr>
                <w:bCs/>
                <w:b/>
                <w:sz w:val="18"/>
              </w:rPr>
              <w:t xml:space="preserve">Validation</w:t>
            </w:r>
          </w:p>
        </w:tc>
        <w:tc>
          <w:tcPr>
            <w:tcW w:w="2763" w:type="dxa"/>
            <w:shd w:val="clear" w:color="auto" w:fill="DCE3EC"/>
          </w:tcPr>
          <w:p>
            <w:pPr>
              <w:pStyle w:val="Compact"/>
              <w:spacing w:after="20" w:before="20"/>
            </w:pPr>
          </w:p>
        </w:tc>
        <w:tc>
          <w:tcPr>
            <w:tcW w:w="2850"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r>
      <w:tr>
        <w:trPr>
          <w:cantSplit w:val="true"/>
        </w:trPr>
        <w:tc>
          <w:tcPr>
            <w:tcW w:w="2780" w:type="dxa"/>
            <w:shd w:val="clear" w:color="auto" w:fill="EEF2F6"/>
          </w:tcPr>
          <w:p>
            <w:pPr>
              <w:pStyle w:val="Compact"/>
              <w:spacing w:after="20" w:before="20"/>
              <w:jc w:val="left"/>
            </w:pPr>
            <w:r>
              <w:rPr>
                <w:sz w:val="18"/>
              </w:rPr>
              <w:t xml:space="preserve">Décrire les scénarios de continuité</w:t>
            </w:r>
          </w:p>
        </w:tc>
        <w:tc>
          <w:tcPr>
            <w:tcW w:w="2763" w:type="dxa"/>
            <w:shd w:val="clear" w:color="auto" w:fill="EEF2F6"/>
          </w:tcPr>
          <w:p>
            <w:pPr>
              <w:pStyle w:val="Compact"/>
              <w:spacing w:after="20" w:before="20"/>
              <w:jc w:val="left"/>
            </w:pPr>
            <w:r>
              <w:rPr>
                <w:sz w:val="18"/>
              </w:rPr>
              <w:t xml:space="preserve">Scénarios non identifiés ; documentation absente, inadaptée ou incomplète</w:t>
            </w:r>
          </w:p>
        </w:tc>
        <w:tc>
          <w:tcPr>
            <w:tcW w:w="2850" w:type="dxa"/>
            <w:shd w:val="clear" w:color="auto" w:fill="EEF2F6"/>
          </w:tcPr>
          <w:p>
            <w:pPr>
              <w:pStyle w:val="Compact"/>
              <w:spacing w:after="20" w:before="20"/>
              <w:jc w:val="left"/>
            </w:pPr>
            <w:r>
              <w:rPr>
                <w:sz w:val="18"/>
              </w:rPr>
              <w:t xml:space="preserve">Validation des scénarios difficile</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6</w:t>
            </w:r>
          </w:p>
        </w:tc>
      </w:tr>
      <w:tr>
        <w:trPr>
          <w:cantSplit w:val="true"/>
        </w:trPr>
        <w:tc>
          <w:tcPr>
            <w:tcW w:w="2780" w:type="dxa"/>
          </w:tcPr>
          <w:p>
            <w:pPr>
              <w:pStyle w:val="Compact"/>
              <w:spacing w:after="20" w:before="20"/>
              <w:jc w:val="left"/>
            </w:pPr>
            <w:r>
              <w:rPr>
                <w:sz w:val="18"/>
              </w:rPr>
              <w:t xml:space="preserve">Organiser les exercices (volet organisationnel)</w:t>
            </w:r>
          </w:p>
        </w:tc>
        <w:tc>
          <w:tcPr>
            <w:tcW w:w="2763" w:type="dxa"/>
          </w:tcPr>
          <w:p>
            <w:pPr>
              <w:pStyle w:val="Compact"/>
              <w:spacing w:after="20" w:before="20"/>
              <w:jc w:val="left"/>
            </w:pPr>
            <w:r>
              <w:rPr>
                <w:sz w:val="18"/>
              </w:rPr>
              <w:t xml:space="preserve">Erreur d'exécution des scénarios</w:t>
            </w:r>
          </w:p>
        </w:tc>
        <w:tc>
          <w:tcPr>
            <w:tcW w:w="2850" w:type="dxa"/>
          </w:tcPr>
          <w:p>
            <w:pPr>
              <w:pStyle w:val="Compact"/>
              <w:spacing w:after="20" w:before="20"/>
              <w:jc w:val="left"/>
            </w:pPr>
            <w:r>
              <w:rPr>
                <w:sz w:val="18"/>
              </w:rPr>
              <w:t xml:space="preserve">Couverture incomplète ; non-respect d'obligations réglementaires</w:t>
            </w:r>
          </w:p>
        </w:tc>
        <w:tc>
          <w:tcPr>
            <w:tcW w:w="339" w:type="dxa"/>
          </w:tcPr>
          <w:p>
            <w:pPr>
              <w:pStyle w:val="Compact"/>
              <w:spacing w:after="20" w:before="20"/>
              <w:jc w:val="left"/>
            </w:pPr>
            <w:r>
              <w:rPr>
                <w:sz w:val="18"/>
              </w:rPr>
              <w:t xml:space="preserve">1</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3</w:t>
            </w:r>
          </w:p>
        </w:tc>
      </w:tr>
      <w:tr>
        <w:trPr>
          <w:cantSplit w:val="true"/>
        </w:trPr>
        <w:tc>
          <w:tcPr>
            <w:tcW w:w="2780" w:type="dxa"/>
            <w:shd w:val="clear" w:color="auto" w:fill="EEF2F6"/>
          </w:tcPr>
          <w:p>
            <w:pPr>
              <w:pStyle w:val="Compact"/>
              <w:spacing w:after="20" w:before="20"/>
              <w:jc w:val="left"/>
            </w:pPr>
            <w:r>
              <w:rPr>
                <w:sz w:val="18"/>
              </w:rPr>
              <w:t xml:space="preserve">Piloter les exercices (volet opérationnel)</w:t>
            </w:r>
          </w:p>
        </w:tc>
        <w:tc>
          <w:tcPr>
            <w:tcW w:w="2763" w:type="dxa"/>
            <w:shd w:val="clear" w:color="auto" w:fill="EEF2F6"/>
          </w:tcPr>
          <w:p>
            <w:pPr>
              <w:pStyle w:val="Compact"/>
              <w:spacing w:after="20" w:before="20"/>
              <w:jc w:val="left"/>
            </w:pPr>
            <w:r>
              <w:rPr>
                <w:sz w:val="18"/>
              </w:rPr>
              <w:t xml:space="preserve">Manque de disponibilité ; concurrence avec les changements</w:t>
            </w:r>
          </w:p>
        </w:tc>
        <w:tc>
          <w:tcPr>
            <w:tcW w:w="2850" w:type="dxa"/>
            <w:shd w:val="clear" w:color="auto" w:fill="EEF2F6"/>
          </w:tcPr>
          <w:p>
            <w:pPr>
              <w:pStyle w:val="Compact"/>
              <w:spacing w:after="20" w:before="20"/>
              <w:jc w:val="left"/>
            </w:pPr>
            <w:r>
              <w:rPr>
                <w:sz w:val="18"/>
              </w:rPr>
              <w:t xml:space="preserve">Impact sur l'activité ; non-respect de la PDMA ou de la DMIA</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6</w:t>
            </w:r>
          </w:p>
        </w:tc>
      </w:tr>
      <w:tr>
        <w:trPr>
          <w:cantSplit w:val="true"/>
        </w:trPr>
        <w:tc>
          <w:tcPr>
            <w:tcW w:w="2780" w:type="dxa"/>
          </w:tcPr>
          <w:p>
            <w:pPr>
              <w:pStyle w:val="Compact"/>
              <w:spacing w:after="20" w:before="20"/>
              <w:jc w:val="left"/>
            </w:pPr>
            <w:r>
              <w:rPr>
                <w:sz w:val="18"/>
              </w:rPr>
              <w:t xml:space="preserve">Piloter les solutions de continuité en cas de sinistre</w:t>
            </w:r>
          </w:p>
        </w:tc>
        <w:tc>
          <w:tcPr>
            <w:tcW w:w="2763" w:type="dxa"/>
          </w:tcPr>
          <w:p>
            <w:pPr>
              <w:pStyle w:val="Compact"/>
              <w:spacing w:after="20" w:before="20"/>
              <w:jc w:val="left"/>
            </w:pPr>
            <w:r>
              <w:rPr>
                <w:sz w:val="18"/>
              </w:rPr>
              <w:t xml:space="preserve">Niveau de continuité insuffisant</w:t>
            </w:r>
          </w:p>
        </w:tc>
        <w:tc>
          <w:tcPr>
            <w:tcW w:w="2850" w:type="dxa"/>
          </w:tcPr>
          <w:p>
            <w:pPr>
              <w:pStyle w:val="Compact"/>
              <w:spacing w:after="20" w:before="20"/>
              <w:jc w:val="left"/>
            </w:pPr>
            <w:r>
              <w:rPr>
                <w:sz w:val="18"/>
              </w:rPr>
              <w:t xml:space="preserve">Impact sur l'activité métier</w:t>
            </w:r>
          </w:p>
        </w:tc>
        <w:tc>
          <w:tcPr>
            <w:tcW w:w="339" w:type="dxa"/>
          </w:tcPr>
          <w:p>
            <w:pPr>
              <w:pStyle w:val="Compact"/>
              <w:spacing w:after="20" w:before="20"/>
              <w:jc w:val="left"/>
            </w:pPr>
            <w:r>
              <w:rPr>
                <w:sz w:val="18"/>
              </w:rPr>
              <w:t xml:space="preserve">1</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3</w:t>
            </w:r>
          </w:p>
        </w:tc>
      </w:tr>
      <w:tr>
        <w:trPr>
          <w:cantSplit w:val="true"/>
        </w:trPr>
        <w:tc>
          <w:tcPr>
            <w:tcW w:w="2780" w:type="dxa"/>
            <w:shd w:val="clear" w:color="auto" w:fill="DCE3EC"/>
          </w:tcPr>
          <w:p>
            <w:pPr>
              <w:pStyle w:val="Compact"/>
              <w:spacing w:after="20" w:before="20"/>
              <w:jc w:val="left"/>
            </w:pPr>
            <w:r>
              <w:rPr>
                <w:bCs/>
                <w:b/>
                <w:sz w:val="18"/>
              </w:rPr>
              <w:t xml:space="preserve">Sensibilisation</w:t>
            </w:r>
          </w:p>
        </w:tc>
        <w:tc>
          <w:tcPr>
            <w:tcW w:w="2763" w:type="dxa"/>
            <w:shd w:val="clear" w:color="auto" w:fill="DCE3EC"/>
          </w:tcPr>
          <w:p>
            <w:pPr>
              <w:pStyle w:val="Compact"/>
              <w:spacing w:after="20" w:before="20"/>
            </w:pPr>
          </w:p>
        </w:tc>
        <w:tc>
          <w:tcPr>
            <w:tcW w:w="2850"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r>
      <w:tr>
        <w:trPr>
          <w:cantSplit w:val="true"/>
        </w:trPr>
        <w:tc>
          <w:tcPr>
            <w:tcW w:w="2780" w:type="dxa"/>
          </w:tcPr>
          <w:p>
            <w:pPr>
              <w:pStyle w:val="Compact"/>
              <w:spacing w:after="20" w:before="20"/>
              <w:jc w:val="left"/>
            </w:pPr>
            <w:r>
              <w:rPr>
                <w:sz w:val="18"/>
              </w:rPr>
              <w:t xml:space="preserve">Sensibiliser les intervenants</w:t>
            </w:r>
          </w:p>
        </w:tc>
        <w:tc>
          <w:tcPr>
            <w:tcW w:w="2763" w:type="dxa"/>
          </w:tcPr>
          <w:p>
            <w:pPr>
              <w:pStyle w:val="Compact"/>
              <w:spacing w:after="20" w:before="20"/>
              <w:jc w:val="left"/>
            </w:pPr>
            <w:r>
              <w:rPr>
                <w:sz w:val="18"/>
              </w:rPr>
              <w:t xml:space="preserve">Manque de disponibilité et de compréhension des enjeux</w:t>
            </w:r>
          </w:p>
        </w:tc>
        <w:tc>
          <w:tcPr>
            <w:tcW w:w="2850" w:type="dxa"/>
          </w:tcPr>
          <w:p>
            <w:pPr>
              <w:pStyle w:val="Compact"/>
              <w:spacing w:after="20" w:before="20"/>
              <w:jc w:val="left"/>
            </w:pPr>
            <w:r>
              <w:rPr>
                <w:sz w:val="18"/>
              </w:rPr>
              <w:t xml:space="preserve">Mise en œuvre difficile</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2</w:t>
            </w:r>
          </w:p>
        </w:tc>
        <w:tc>
          <w:tcPr>
            <w:tcW w:w="339" w:type="dxa"/>
          </w:tcPr>
          <w:p>
            <w:pPr>
              <w:pStyle w:val="Compact"/>
              <w:spacing w:after="20" w:before="20"/>
              <w:jc w:val="left"/>
            </w:pPr>
            <w:r>
              <w:rPr>
                <w:sz w:val="18"/>
              </w:rPr>
              <w:t xml:space="preserve">6</w:t>
            </w:r>
          </w:p>
        </w:tc>
      </w:tr>
      <w:tr>
        <w:trPr>
          <w:cantSplit w:val="true"/>
        </w:trPr>
        <w:tc>
          <w:tcPr>
            <w:tcW w:w="2780" w:type="dxa"/>
            <w:shd w:val="clear" w:color="auto" w:fill="EEF2F6"/>
          </w:tcPr>
          <w:p>
            <w:pPr>
              <w:pStyle w:val="Compact"/>
              <w:spacing w:after="20" w:before="20"/>
              <w:jc w:val="left"/>
            </w:pPr>
            <w:r>
              <w:rPr>
                <w:sz w:val="18"/>
              </w:rPr>
              <w:t xml:space="preserve">Sensibiliser ses collaborateurs</w:t>
            </w:r>
          </w:p>
        </w:tc>
        <w:tc>
          <w:tcPr>
            <w:tcW w:w="2763" w:type="dxa"/>
            <w:shd w:val="clear" w:color="auto" w:fill="EEF2F6"/>
          </w:tcPr>
          <w:p>
            <w:pPr>
              <w:pStyle w:val="Compact"/>
              <w:spacing w:after="20" w:before="20"/>
              <w:jc w:val="left"/>
            </w:pPr>
            <w:r>
              <w:rPr>
                <w:sz w:val="18"/>
              </w:rPr>
              <w:t xml:space="preserve">Manque de disponibilité</w:t>
            </w:r>
          </w:p>
        </w:tc>
        <w:tc>
          <w:tcPr>
            <w:tcW w:w="2850" w:type="dxa"/>
            <w:shd w:val="clear" w:color="auto" w:fill="EEF2F6"/>
          </w:tcPr>
          <w:p>
            <w:pPr>
              <w:pStyle w:val="Compact"/>
              <w:spacing w:after="20" w:before="20"/>
              <w:jc w:val="left"/>
            </w:pPr>
            <w:r>
              <w:rPr>
                <w:sz w:val="18"/>
              </w:rPr>
              <w:t xml:space="preserve">Suivi de la mise en œuvre difficile</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6</w:t>
            </w:r>
          </w:p>
        </w:tc>
      </w:tr>
      <w:tr>
        <w:trPr>
          <w:cantSplit w:val="true"/>
        </w:trPr>
        <w:tc>
          <w:tcPr>
            <w:tcW w:w="2780" w:type="dxa"/>
            <w:shd w:val="clear" w:color="auto" w:fill="DCE3EC"/>
          </w:tcPr>
          <w:p>
            <w:pPr>
              <w:pStyle w:val="Compact"/>
              <w:spacing w:after="20" w:before="20"/>
              <w:jc w:val="left"/>
            </w:pPr>
            <w:r>
              <w:rPr>
                <w:bCs/>
                <w:b/>
                <w:sz w:val="18"/>
              </w:rPr>
              <w:t xml:space="preserve">Reporting</w:t>
            </w:r>
          </w:p>
        </w:tc>
        <w:tc>
          <w:tcPr>
            <w:tcW w:w="2763" w:type="dxa"/>
            <w:shd w:val="clear" w:color="auto" w:fill="DCE3EC"/>
          </w:tcPr>
          <w:p>
            <w:pPr>
              <w:pStyle w:val="Compact"/>
              <w:spacing w:after="20" w:before="20"/>
            </w:pPr>
          </w:p>
        </w:tc>
        <w:tc>
          <w:tcPr>
            <w:tcW w:w="2850"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r>
      <w:tr>
        <w:trPr>
          <w:cantSplit w:val="true"/>
        </w:trPr>
        <w:tc>
          <w:tcPr>
            <w:tcW w:w="2780" w:type="dxa"/>
            <w:shd w:val="clear" w:color="auto" w:fill="EEF2F6"/>
          </w:tcPr>
          <w:p>
            <w:pPr>
              <w:pStyle w:val="Compact"/>
              <w:spacing w:after="20" w:before="20"/>
              <w:jc w:val="left"/>
            </w:pPr>
            <w:r>
              <w:rPr>
                <w:sz w:val="18"/>
              </w:rPr>
              <w:t xml:space="preserve">Transmettre au DSI les besoins d'évolution</w:t>
            </w:r>
          </w:p>
        </w:tc>
        <w:tc>
          <w:tcPr>
            <w:tcW w:w="2763" w:type="dxa"/>
            <w:shd w:val="clear" w:color="auto" w:fill="EEF2F6"/>
          </w:tcPr>
          <w:p>
            <w:pPr>
              <w:pStyle w:val="Compact"/>
              <w:spacing w:after="20" w:before="20"/>
              <w:jc w:val="left"/>
            </w:pPr>
            <w:r>
              <w:rPr>
                <w:sz w:val="18"/>
              </w:rPr>
              <w:t xml:space="preserve">Ressources et moyens inadaptés</w:t>
            </w:r>
          </w:p>
        </w:tc>
        <w:tc>
          <w:tcPr>
            <w:tcW w:w="2850" w:type="dxa"/>
            <w:shd w:val="clear" w:color="auto" w:fill="EEF2F6"/>
          </w:tcPr>
          <w:p>
            <w:pPr>
              <w:pStyle w:val="Compact"/>
              <w:spacing w:after="20" w:before="20"/>
              <w:jc w:val="left"/>
            </w:pPr>
            <w:r>
              <w:rPr>
                <w:sz w:val="18"/>
              </w:rPr>
              <w:t xml:space="preserve">Mise en œuvre et MCO difficiles ; perte de données</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6</w:t>
            </w:r>
          </w:p>
        </w:tc>
      </w:tr>
      <w:tr>
        <w:trPr>
          <w:cantSplit w:val="true"/>
        </w:trPr>
        <w:tc>
          <w:tcPr>
            <w:tcW w:w="2780" w:type="dxa"/>
          </w:tcPr>
          <w:p>
            <w:pPr>
              <w:pStyle w:val="Compact"/>
              <w:spacing w:after="20" w:before="20"/>
              <w:jc w:val="left"/>
            </w:pPr>
            <w:r>
              <w:rPr>
                <w:sz w:val="18"/>
              </w:rPr>
              <w:t xml:space="preserve">Prendre en compte les remontées du RPCI</w:t>
            </w:r>
          </w:p>
        </w:tc>
        <w:tc>
          <w:tcPr>
            <w:tcW w:w="2763" w:type="dxa"/>
          </w:tcPr>
          <w:p>
            <w:pPr>
              <w:pStyle w:val="Compact"/>
              <w:spacing w:after="20" w:before="20"/>
              <w:jc w:val="left"/>
            </w:pPr>
            <w:r>
              <w:rPr>
                <w:sz w:val="18"/>
              </w:rPr>
              <w:t xml:space="preserve">Défaut de communication</w:t>
            </w:r>
          </w:p>
        </w:tc>
        <w:tc>
          <w:tcPr>
            <w:tcW w:w="2850" w:type="dxa"/>
          </w:tcPr>
          <w:p>
            <w:pPr>
              <w:pStyle w:val="Compact"/>
              <w:spacing w:after="20" w:before="20"/>
              <w:jc w:val="left"/>
            </w:pPr>
            <w:r>
              <w:rPr>
                <w:sz w:val="18"/>
              </w:rPr>
              <w:t xml:space="preserve">Désalignement avec la stratégie</w:t>
            </w:r>
          </w:p>
        </w:tc>
        <w:tc>
          <w:tcPr>
            <w:tcW w:w="339" w:type="dxa"/>
          </w:tcPr>
          <w:p>
            <w:pPr>
              <w:pStyle w:val="Compact"/>
              <w:spacing w:after="20" w:before="20"/>
              <w:jc w:val="left"/>
            </w:pPr>
            <w:r>
              <w:rPr>
                <w:sz w:val="18"/>
              </w:rPr>
              <w:t xml:space="preserve">1</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3</w:t>
            </w:r>
          </w:p>
        </w:tc>
      </w:tr>
      <w:tr>
        <w:trPr>
          <w:cantSplit w:val="true"/>
        </w:trPr>
        <w:tc>
          <w:tcPr>
            <w:tcW w:w="2780" w:type="dxa"/>
            <w:shd w:val="clear" w:color="auto" w:fill="EEF2F6"/>
          </w:tcPr>
          <w:p>
            <w:pPr>
              <w:pStyle w:val="Compact"/>
              <w:spacing w:after="20" w:before="20"/>
              <w:jc w:val="left"/>
            </w:pPr>
            <w:r>
              <w:rPr>
                <w:sz w:val="18"/>
              </w:rPr>
              <w:t xml:space="preserve">Reporting tactique</w:t>
            </w:r>
          </w:p>
        </w:tc>
        <w:tc>
          <w:tcPr>
            <w:tcW w:w="2763" w:type="dxa"/>
            <w:shd w:val="clear" w:color="auto" w:fill="EEF2F6"/>
          </w:tcPr>
          <w:p>
            <w:pPr>
              <w:pStyle w:val="Compact"/>
              <w:spacing w:after="20" w:before="20"/>
              <w:jc w:val="left"/>
            </w:pPr>
            <w:r>
              <w:rPr>
                <w:sz w:val="18"/>
              </w:rPr>
              <w:t xml:space="preserve">Activité non formalisée ; manque de disponibilité</w:t>
            </w:r>
          </w:p>
        </w:tc>
        <w:tc>
          <w:tcPr>
            <w:tcW w:w="2850" w:type="dxa"/>
            <w:shd w:val="clear" w:color="auto" w:fill="EEF2F6"/>
          </w:tcPr>
          <w:p>
            <w:pPr>
              <w:pStyle w:val="Compact"/>
              <w:spacing w:after="20" w:before="20"/>
              <w:jc w:val="left"/>
            </w:pPr>
            <w:r>
              <w:rPr>
                <w:sz w:val="18"/>
              </w:rPr>
              <w:t xml:space="preserve">Besoins de sécurité métier insuffisamment pris en compte</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2</w:t>
            </w:r>
          </w:p>
        </w:tc>
        <w:tc>
          <w:tcPr>
            <w:tcW w:w="339" w:type="dxa"/>
            <w:shd w:val="clear" w:color="auto" w:fill="EEF2F6"/>
          </w:tcPr>
          <w:p>
            <w:pPr>
              <w:pStyle w:val="Compact"/>
              <w:spacing w:after="20" w:before="20"/>
              <w:jc w:val="left"/>
            </w:pPr>
            <w:r>
              <w:rPr>
                <w:sz w:val="18"/>
              </w:rPr>
              <w:t xml:space="preserve">6</w:t>
            </w:r>
          </w:p>
        </w:tc>
      </w:tr>
      <w:tr>
        <w:trPr>
          <w:cantSplit w:val="true"/>
        </w:trPr>
        <w:tc>
          <w:tcPr>
            <w:tcW w:w="2780" w:type="dxa"/>
          </w:tcPr>
          <w:p>
            <w:pPr>
              <w:pStyle w:val="Compact"/>
              <w:spacing w:after="20" w:before="20"/>
              <w:jc w:val="left"/>
            </w:pPr>
            <w:r>
              <w:rPr>
                <w:sz w:val="18"/>
              </w:rPr>
              <w:t xml:space="preserve">Reporting opérationnel</w:t>
            </w:r>
          </w:p>
        </w:tc>
        <w:tc>
          <w:tcPr>
            <w:tcW w:w="2763" w:type="dxa"/>
          </w:tcPr>
          <w:p>
            <w:pPr>
              <w:pStyle w:val="Compact"/>
              <w:spacing w:after="20" w:before="20"/>
              <w:jc w:val="left"/>
            </w:pPr>
            <w:r>
              <w:rPr>
                <w:sz w:val="18"/>
              </w:rPr>
              <w:t xml:space="preserve">Éléments nécessaires mal identifiés ; manque de disponibilité</w:t>
            </w:r>
          </w:p>
        </w:tc>
        <w:tc>
          <w:tcPr>
            <w:tcW w:w="2850" w:type="dxa"/>
          </w:tcPr>
          <w:p>
            <w:pPr>
              <w:pStyle w:val="Compact"/>
              <w:spacing w:after="20" w:before="20"/>
              <w:jc w:val="left"/>
            </w:pPr>
            <w:r>
              <w:rPr>
                <w:sz w:val="18"/>
              </w:rPr>
              <w:t xml:space="preserve">Orientation sécurité erronée ; manque de transparence</w:t>
            </w:r>
          </w:p>
        </w:tc>
        <w:tc>
          <w:tcPr>
            <w:tcW w:w="339" w:type="dxa"/>
          </w:tcPr>
          <w:p>
            <w:pPr>
              <w:pStyle w:val="Compact"/>
              <w:spacing w:after="20" w:before="20"/>
              <w:jc w:val="left"/>
            </w:pPr>
            <w:r>
              <w:rPr>
                <w:sz w:val="18"/>
              </w:rPr>
              <w:t xml:space="preserve">2</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6</w:t>
            </w:r>
          </w:p>
        </w:tc>
      </w:tr>
      <w:tr>
        <w:trPr>
          <w:cantSplit w:val="true"/>
        </w:trPr>
        <w:tc>
          <w:tcPr>
            <w:tcW w:w="2780" w:type="dxa"/>
            <w:shd w:val="clear" w:color="auto" w:fill="EEF2F6"/>
          </w:tcPr>
          <w:p>
            <w:pPr>
              <w:pStyle w:val="Compact"/>
              <w:spacing w:after="20" w:before="20"/>
              <w:jc w:val="left"/>
            </w:pPr>
            <w:r>
              <w:rPr>
                <w:sz w:val="18"/>
              </w:rPr>
              <w:t xml:space="preserve">Produire les éléments du reporting opérationnel</w:t>
            </w:r>
          </w:p>
        </w:tc>
        <w:tc>
          <w:tcPr>
            <w:tcW w:w="2763" w:type="dxa"/>
            <w:shd w:val="clear" w:color="auto" w:fill="EEF2F6"/>
          </w:tcPr>
          <w:p>
            <w:pPr>
              <w:pStyle w:val="Compact"/>
              <w:spacing w:after="20" w:before="20"/>
              <w:jc w:val="left"/>
            </w:pPr>
            <w:r>
              <w:rPr>
                <w:sz w:val="18"/>
              </w:rPr>
              <w:t xml:space="preserve">Manque de disponibilité ; activité non formalisée ; éléments mal identifiés</w:t>
            </w:r>
          </w:p>
        </w:tc>
        <w:tc>
          <w:tcPr>
            <w:tcW w:w="2850" w:type="dxa"/>
            <w:shd w:val="clear" w:color="auto" w:fill="EEF2F6"/>
          </w:tcPr>
          <w:p>
            <w:pPr>
              <w:pStyle w:val="Compact"/>
              <w:spacing w:after="20" w:before="20"/>
              <w:jc w:val="left"/>
            </w:pPr>
            <w:r>
              <w:rPr>
                <w:sz w:val="18"/>
              </w:rPr>
              <w:t xml:space="preserve">Reporting sans valeur au regard des besoins métier</w:t>
            </w:r>
          </w:p>
        </w:tc>
        <w:tc>
          <w:tcPr>
            <w:tcW w:w="339" w:type="dxa"/>
            <w:shd w:val="clear" w:color="auto" w:fill="EEF2F6"/>
          </w:tcPr>
          <w:p>
            <w:pPr>
              <w:pStyle w:val="Compact"/>
              <w:spacing w:after="20" w:before="20"/>
              <w:jc w:val="left"/>
            </w:pPr>
            <w:r>
              <w:rPr>
                <w:sz w:val="18"/>
              </w:rPr>
              <w:t xml:space="preserve">1</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3</w:t>
            </w:r>
          </w:p>
        </w:tc>
      </w:tr>
      <w:tr>
        <w:trPr>
          <w:cantSplit w:val="true"/>
        </w:trPr>
        <w:tc>
          <w:tcPr>
            <w:tcW w:w="2780" w:type="dxa"/>
            <w:shd w:val="clear" w:color="auto" w:fill="DCE3EC"/>
          </w:tcPr>
          <w:p>
            <w:pPr>
              <w:pStyle w:val="Compact"/>
              <w:spacing w:after="20" w:before="20"/>
              <w:jc w:val="left"/>
            </w:pPr>
            <w:r>
              <w:rPr>
                <w:bCs/>
                <w:b/>
                <w:sz w:val="18"/>
              </w:rPr>
              <w:t xml:space="preserve">Incidents</w:t>
            </w:r>
          </w:p>
        </w:tc>
        <w:tc>
          <w:tcPr>
            <w:tcW w:w="2763" w:type="dxa"/>
            <w:shd w:val="clear" w:color="auto" w:fill="DCE3EC"/>
          </w:tcPr>
          <w:p>
            <w:pPr>
              <w:pStyle w:val="Compact"/>
              <w:spacing w:after="20" w:before="20"/>
            </w:pPr>
          </w:p>
        </w:tc>
        <w:tc>
          <w:tcPr>
            <w:tcW w:w="2850"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r>
      <w:tr>
        <w:trPr>
          <w:cantSplit w:val="true"/>
        </w:trPr>
        <w:tc>
          <w:tcPr>
            <w:tcW w:w="2780" w:type="dxa"/>
            <w:shd w:val="clear" w:color="auto" w:fill="EEF2F6"/>
          </w:tcPr>
          <w:p>
            <w:pPr>
              <w:pStyle w:val="Compact"/>
              <w:spacing w:after="20" w:before="20"/>
              <w:jc w:val="left"/>
            </w:pPr>
            <w:r>
              <w:rPr>
                <w:sz w:val="18"/>
              </w:rPr>
              <w:t xml:space="preserve">Suivre les écarts d'application de la stratégie</w:t>
            </w:r>
          </w:p>
        </w:tc>
        <w:tc>
          <w:tcPr>
            <w:tcW w:w="2763" w:type="dxa"/>
            <w:shd w:val="clear" w:color="auto" w:fill="EEF2F6"/>
          </w:tcPr>
          <w:p>
            <w:pPr>
              <w:pStyle w:val="Compact"/>
              <w:spacing w:after="20" w:before="20"/>
              <w:jc w:val="left"/>
            </w:pPr>
            <w:r>
              <w:rPr>
                <w:sz w:val="18"/>
              </w:rPr>
              <w:t xml:space="preserve">Activité non formalisée ; manque de visibilité</w:t>
            </w:r>
          </w:p>
        </w:tc>
        <w:tc>
          <w:tcPr>
            <w:tcW w:w="2850" w:type="dxa"/>
            <w:shd w:val="clear" w:color="auto" w:fill="EEF2F6"/>
          </w:tcPr>
          <w:p>
            <w:pPr>
              <w:pStyle w:val="Compact"/>
              <w:spacing w:after="20" w:before="20"/>
              <w:jc w:val="left"/>
            </w:pPr>
            <w:r>
              <w:rPr>
                <w:sz w:val="18"/>
              </w:rPr>
              <w:t xml:space="preserve">MCO difficile</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bCs/>
                <w:b/>
                <w:sz w:val="18"/>
              </w:rPr>
              <w:t xml:space="preserve">9</w:t>
            </w:r>
          </w:p>
        </w:tc>
      </w:tr>
      <w:tr>
        <w:trPr>
          <w:cantSplit w:val="true"/>
        </w:trPr>
        <w:tc>
          <w:tcPr>
            <w:tcW w:w="2780" w:type="dxa"/>
          </w:tcPr>
          <w:p>
            <w:pPr>
              <w:pStyle w:val="Compact"/>
              <w:spacing w:after="20" w:before="20"/>
              <w:jc w:val="left"/>
            </w:pPr>
            <w:r>
              <w:rPr>
                <w:sz w:val="18"/>
              </w:rPr>
              <w:t xml:space="preserve">Suivre les incidents de sauvegarde et de restauration</w:t>
            </w:r>
          </w:p>
        </w:tc>
        <w:tc>
          <w:tcPr>
            <w:tcW w:w="2763" w:type="dxa"/>
          </w:tcPr>
          <w:p>
            <w:pPr>
              <w:pStyle w:val="Compact"/>
              <w:spacing w:after="20" w:before="20"/>
              <w:jc w:val="left"/>
            </w:pPr>
            <w:r>
              <w:rPr>
                <w:sz w:val="18"/>
              </w:rPr>
              <w:t xml:space="preserve">Activité non formalisée ; manque de visibilité</w:t>
            </w:r>
          </w:p>
        </w:tc>
        <w:tc>
          <w:tcPr>
            <w:tcW w:w="2850" w:type="dxa"/>
          </w:tcPr>
          <w:p>
            <w:pPr>
              <w:pStyle w:val="Compact"/>
              <w:spacing w:after="20" w:before="20"/>
              <w:jc w:val="left"/>
            </w:pPr>
            <w:r>
              <w:rPr>
                <w:sz w:val="18"/>
              </w:rPr>
              <w:t xml:space="preserve">MCO difficile</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bCs/>
                <w:b/>
                <w:sz w:val="18"/>
              </w:rPr>
              <w:t xml:space="preserve">9</w:t>
            </w:r>
          </w:p>
        </w:tc>
      </w:tr>
      <w:tr>
        <w:trPr>
          <w:cantSplit w:val="true"/>
        </w:trPr>
        <w:tc>
          <w:tcPr>
            <w:tcW w:w="2780" w:type="dxa"/>
            <w:shd w:val="clear" w:color="auto" w:fill="EEF2F6"/>
          </w:tcPr>
          <w:p>
            <w:pPr>
              <w:pStyle w:val="Compact"/>
              <w:spacing w:after="20" w:before="20"/>
              <w:jc w:val="left"/>
            </w:pPr>
            <w:r>
              <w:rPr>
                <w:sz w:val="18"/>
              </w:rPr>
              <w:t xml:space="preserve">Instruire les incidents affectant le plan de sauvegarde</w:t>
            </w:r>
          </w:p>
        </w:tc>
        <w:tc>
          <w:tcPr>
            <w:tcW w:w="2763" w:type="dxa"/>
            <w:shd w:val="clear" w:color="auto" w:fill="EEF2F6"/>
          </w:tcPr>
          <w:p>
            <w:pPr>
              <w:pStyle w:val="Compact"/>
              <w:spacing w:after="20" w:before="20"/>
              <w:jc w:val="left"/>
            </w:pPr>
            <w:r>
              <w:rPr>
                <w:sz w:val="18"/>
              </w:rPr>
              <w:t xml:space="preserve">Qualification sécurité des incidents insuffisante ; manque de visibilité</w:t>
            </w:r>
          </w:p>
        </w:tc>
        <w:tc>
          <w:tcPr>
            <w:tcW w:w="2850" w:type="dxa"/>
            <w:shd w:val="clear" w:color="auto" w:fill="EEF2F6"/>
          </w:tcPr>
          <w:p>
            <w:pPr>
              <w:pStyle w:val="Compact"/>
              <w:spacing w:after="20" w:before="20"/>
              <w:jc w:val="left"/>
            </w:pPr>
            <w:r>
              <w:rPr>
                <w:sz w:val="18"/>
              </w:rPr>
              <w:t xml:space="preserve">Amélioration continue inadaptée</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sz w:val="18"/>
              </w:rPr>
              <w:t xml:space="preserve">3</w:t>
            </w:r>
          </w:p>
        </w:tc>
        <w:tc>
          <w:tcPr>
            <w:tcW w:w="339" w:type="dxa"/>
            <w:shd w:val="clear" w:color="auto" w:fill="EEF2F6"/>
          </w:tcPr>
          <w:p>
            <w:pPr>
              <w:pStyle w:val="Compact"/>
              <w:spacing w:after="20" w:before="20"/>
              <w:jc w:val="left"/>
            </w:pPr>
            <w:r>
              <w:rPr>
                <w:bCs/>
                <w:b/>
                <w:sz w:val="18"/>
              </w:rPr>
              <w:t xml:space="preserve">9</w:t>
            </w:r>
          </w:p>
        </w:tc>
      </w:tr>
      <w:tr>
        <w:trPr>
          <w:cantSplit w:val="true"/>
        </w:trPr>
        <w:tc>
          <w:tcPr>
            <w:tcW w:w="2780" w:type="dxa"/>
          </w:tcPr>
          <w:p>
            <w:pPr>
              <w:pStyle w:val="Compact"/>
              <w:spacing w:after="20" w:before="20"/>
              <w:jc w:val="left"/>
            </w:pPr>
            <w:r>
              <w:rPr>
                <w:sz w:val="18"/>
              </w:rPr>
              <w:t xml:space="preserve">Instruire les incidents de sauvegarde et de restauration</w:t>
            </w:r>
          </w:p>
        </w:tc>
        <w:tc>
          <w:tcPr>
            <w:tcW w:w="2763" w:type="dxa"/>
          </w:tcPr>
          <w:p>
            <w:pPr>
              <w:pStyle w:val="Compact"/>
              <w:spacing w:after="20" w:before="20"/>
              <w:jc w:val="left"/>
            </w:pPr>
            <w:r>
              <w:rPr>
                <w:sz w:val="18"/>
              </w:rPr>
              <w:t xml:space="preserve">Qualification sécurité des incidents insuffisante ; manque de visibilité</w:t>
            </w:r>
          </w:p>
        </w:tc>
        <w:tc>
          <w:tcPr>
            <w:tcW w:w="2850" w:type="dxa"/>
          </w:tcPr>
          <w:p>
            <w:pPr>
              <w:pStyle w:val="Compact"/>
              <w:spacing w:after="20" w:before="20"/>
              <w:jc w:val="left"/>
            </w:pPr>
            <w:r>
              <w:rPr>
                <w:sz w:val="18"/>
              </w:rPr>
              <w:t xml:space="preserve">Amélioration continue inadaptée</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bCs/>
                <w:b/>
                <w:sz w:val="18"/>
              </w:rPr>
              <w:t xml:space="preserve">9</w:t>
            </w:r>
          </w:p>
        </w:tc>
      </w:tr>
      <w:tr>
        <w:trPr>
          <w:cantSplit w:val="true"/>
        </w:trPr>
        <w:tc>
          <w:tcPr>
            <w:tcW w:w="2780" w:type="dxa"/>
            <w:shd w:val="clear" w:color="auto" w:fill="DCE3EC"/>
          </w:tcPr>
          <w:p>
            <w:pPr>
              <w:pStyle w:val="Compact"/>
              <w:spacing w:after="20" w:before="20"/>
              <w:jc w:val="left"/>
            </w:pPr>
            <w:r>
              <w:rPr>
                <w:bCs/>
                <w:b/>
                <w:sz w:val="18"/>
              </w:rPr>
              <w:t xml:space="preserve">Plan de capacité</w:t>
            </w:r>
          </w:p>
        </w:tc>
        <w:tc>
          <w:tcPr>
            <w:tcW w:w="2763" w:type="dxa"/>
            <w:shd w:val="clear" w:color="auto" w:fill="DCE3EC"/>
          </w:tcPr>
          <w:p>
            <w:pPr>
              <w:pStyle w:val="Compact"/>
              <w:spacing w:after="20" w:before="20"/>
            </w:pPr>
          </w:p>
        </w:tc>
        <w:tc>
          <w:tcPr>
            <w:tcW w:w="2850"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c>
          <w:tcPr>
            <w:tcW w:w="339" w:type="dxa"/>
            <w:shd w:val="clear" w:color="auto" w:fill="DCE3EC"/>
          </w:tcPr>
          <w:p>
            <w:pPr>
              <w:pStyle w:val="Compact"/>
              <w:spacing w:after="20" w:before="20"/>
            </w:pPr>
          </w:p>
        </w:tc>
      </w:tr>
      <w:tr>
        <w:trPr>
          <w:cantSplit w:val="true"/>
        </w:trPr>
        <w:tc>
          <w:tcPr>
            <w:tcW w:w="2780" w:type="dxa"/>
          </w:tcPr>
          <w:p>
            <w:pPr>
              <w:pStyle w:val="Compact"/>
              <w:spacing w:after="20" w:before="20"/>
              <w:jc w:val="left"/>
            </w:pPr>
            <w:r>
              <w:rPr>
                <w:sz w:val="18"/>
              </w:rPr>
              <w:t xml:space="preserve">Établir le plan de capacité</w:t>
            </w:r>
          </w:p>
        </w:tc>
        <w:tc>
          <w:tcPr>
            <w:tcW w:w="2763" w:type="dxa"/>
          </w:tcPr>
          <w:p>
            <w:pPr>
              <w:pStyle w:val="Compact"/>
              <w:spacing w:after="20" w:before="20"/>
              <w:jc w:val="left"/>
            </w:pPr>
            <w:r>
              <w:rPr>
                <w:sz w:val="18"/>
              </w:rPr>
              <w:t xml:space="preserve">Manque de disponibilité</w:t>
            </w:r>
          </w:p>
        </w:tc>
        <w:tc>
          <w:tcPr>
            <w:tcW w:w="2850" w:type="dxa"/>
          </w:tcPr>
          <w:p>
            <w:pPr>
              <w:pStyle w:val="Compact"/>
              <w:spacing w:after="20" w:before="20"/>
              <w:jc w:val="left"/>
            </w:pPr>
            <w:r>
              <w:rPr>
                <w:sz w:val="18"/>
              </w:rPr>
              <w:t xml:space="preserve">Sur- ou sous-dimensionnement</w:t>
            </w:r>
          </w:p>
        </w:tc>
        <w:tc>
          <w:tcPr>
            <w:tcW w:w="339" w:type="dxa"/>
          </w:tcPr>
          <w:p>
            <w:pPr>
              <w:pStyle w:val="Compact"/>
              <w:spacing w:after="20" w:before="20"/>
              <w:jc w:val="left"/>
            </w:pPr>
            <w:r>
              <w:rPr>
                <w:sz w:val="18"/>
              </w:rPr>
              <w:t xml:space="preserve">2</w:t>
            </w:r>
          </w:p>
        </w:tc>
        <w:tc>
          <w:tcPr>
            <w:tcW w:w="339" w:type="dxa"/>
          </w:tcPr>
          <w:p>
            <w:pPr>
              <w:pStyle w:val="Compact"/>
              <w:spacing w:after="20" w:before="20"/>
              <w:jc w:val="left"/>
            </w:pPr>
            <w:r>
              <w:rPr>
                <w:sz w:val="18"/>
              </w:rPr>
              <w:t xml:space="preserve">3</w:t>
            </w:r>
          </w:p>
        </w:tc>
        <w:tc>
          <w:tcPr>
            <w:tcW w:w="339" w:type="dxa"/>
          </w:tcPr>
          <w:p>
            <w:pPr>
              <w:pStyle w:val="Compact"/>
              <w:spacing w:after="20" w:before="20"/>
              <w:jc w:val="left"/>
            </w:pPr>
            <w:r>
              <w:rPr>
                <w:sz w:val="18"/>
              </w:rPr>
              <w:t xml:space="preserve">6</w:t>
            </w:r>
          </w:p>
        </w:tc>
      </w:tr>
    </w:tbl>
    <w:bookmarkEnd w:id="111"/>
    <w:bookmarkStart w:id="115" w:name="indicateurs"/>
    <w:p>
      <w:pPr>
        <w:pStyle w:val="Heading2"/>
      </w:pPr>
      <w:r>
        <w:t xml:space="preserve">11.2 Indicateurs</w:t>
      </w:r>
    </w:p>
    <w:p>
      <w:pPr>
        <w:pStyle w:val="FirstParagraph"/>
      </w:pPr>
      <w:r>
        <w:t xml:space="preserve">Les indicateurs permettent à toutes les parties prenantes d'évaluer le risque résiduel et de vérifier le respect de la stratégie. Les exemples ci-dessous sont proposés</w:t>
      </w:r>
      <w:r>
        <w:t xml:space="preserve"> </w:t>
      </w:r>
      <w:r>
        <w:rPr>
          <w:bCs/>
          <w:b/>
        </w:rPr>
        <w:t xml:space="preserve">[À VALIDER]</w:t>
      </w:r>
      <w:r>
        <w:t xml:space="preserve"> </w:t>
      </w:r>
      <w:r>
        <w:t xml:space="preserve">; seuils à fixer après une période de mesure initiale.</w:t>
      </w:r>
    </w:p>
    <w:bookmarkStart w:id="112" w:name="X2057b402b7c8b4388b88a1b2e1e10046d7eb9ac"/>
    <w:p>
      <w:pPr>
        <w:pStyle w:val="Heading3"/>
      </w:pPr>
      <w:r>
        <w:t xml:space="preserve">11.2.1 Indicateurs de gestion opérationnelle (IGO)</w:t>
      </w:r>
    </w:p>
    <w:p>
      <w:pPr>
        <w:pStyle w:val="FirstParagraph"/>
      </w:pPr>
      <w:r>
        <w:t xml:space="preserve">Construits et utilisés par les équipes d'exploitation pour le suivi courant. Ils portent sur chaque sauvegarde et restauration, quel que soit son type ou sa périodicité, déclinés par direction ou entité, par application et par environnement.</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508"/>
        <w:gridCol w:w="4534"/>
        <w:gridCol w:w="1369"/>
      </w:tblGrid>
      <w:tr>
        <w:trPr>
          <w:tblHeader w:val="true"/>
          <w:tblHeader w:val="true"/>
          <w:cantSplit w:val="true"/>
        </w:trPr>
        <w:tc>
          <w:tcPr>
            <w:tcW w:w="3508" w:type="dxa"/>
            <w:shd w:val="clear" w:color="auto" w:fill="1F3A5F"/>
          </w:tcPr>
          <w:p>
            <w:pPr>
              <w:pStyle w:val="Compact"/>
              <w:spacing w:after="20" w:before="20"/>
              <w:jc w:val="left"/>
            </w:pPr>
            <w:r>
              <w:rPr>
                <w:b/>
                <w:color w:val="FFFFFF"/>
                <w:sz w:val="18"/>
              </w:rPr>
              <w:t xml:space="preserve">Indicateur</w:t>
            </w:r>
          </w:p>
        </w:tc>
        <w:tc>
          <w:tcPr>
            <w:tcW w:w="4534" w:type="dxa"/>
            <w:shd w:val="clear" w:color="auto" w:fill="1F3A5F"/>
          </w:tcPr>
          <w:p>
            <w:pPr>
              <w:pStyle w:val="Compact"/>
              <w:spacing w:after="20" w:before="20"/>
              <w:jc w:val="left"/>
            </w:pPr>
            <w:r>
              <w:rPr>
                <w:b/>
                <w:color w:val="FFFFFF"/>
                <w:sz w:val="18"/>
              </w:rPr>
              <w:t xml:space="preserve">Formule</w:t>
            </w:r>
          </w:p>
        </w:tc>
        <w:tc>
          <w:tcPr>
            <w:tcW w:w="1369" w:type="dxa"/>
            <w:shd w:val="clear" w:color="auto" w:fill="1F3A5F"/>
          </w:tcPr>
          <w:p>
            <w:pPr>
              <w:pStyle w:val="Compact"/>
              <w:spacing w:after="20" w:before="20"/>
              <w:jc w:val="left"/>
            </w:pPr>
            <w:r>
              <w:rPr>
                <w:b/>
                <w:color w:val="FFFFFF"/>
                <w:sz w:val="18"/>
              </w:rPr>
              <w:t xml:space="preserve">Cible indicative</w:t>
            </w:r>
          </w:p>
        </w:tc>
      </w:tr>
      <w:tr>
        <w:trPr>
          <w:cantSplit w:val="true"/>
        </w:trPr>
        <w:tc>
          <w:tcPr>
            <w:tcW w:w="3508" w:type="dxa"/>
          </w:tcPr>
          <w:p>
            <w:pPr>
              <w:pStyle w:val="Compact"/>
              <w:spacing w:after="20" w:before="20"/>
              <w:jc w:val="left"/>
            </w:pPr>
            <w:r>
              <w:rPr>
                <w:sz w:val="18"/>
              </w:rPr>
              <w:t xml:space="preserve">Taux de réussite des sauvegardes</w:t>
            </w:r>
          </w:p>
        </w:tc>
        <w:tc>
          <w:tcPr>
            <w:tcW w:w="4534" w:type="dxa"/>
          </w:tcPr>
          <w:p>
            <w:pPr>
              <w:pStyle w:val="Compact"/>
              <w:spacing w:after="20" w:before="20"/>
              <w:jc w:val="left"/>
            </w:pPr>
            <w:r>
              <w:rPr>
                <w:sz w:val="18"/>
              </w:rPr>
              <w:t xml:space="preserve">Sauvegardes réussies / sauvegardes planifiées</w:t>
            </w:r>
          </w:p>
        </w:tc>
        <w:tc>
          <w:tcPr>
            <w:tcW w:w="1369" w:type="dxa"/>
          </w:tcPr>
          <w:p>
            <w:pPr>
              <w:pStyle w:val="Compact"/>
              <w:spacing w:after="20" w:before="20"/>
              <w:jc w:val="left"/>
            </w:pPr>
            <w:r>
              <w:rPr>
                <w:sz w:val="18"/>
              </w:rPr>
              <w:t xml:space="preserve">≥ 98 %</w:t>
            </w:r>
          </w:p>
        </w:tc>
      </w:tr>
      <w:tr>
        <w:trPr>
          <w:cantSplit w:val="true"/>
        </w:trPr>
        <w:tc>
          <w:tcPr>
            <w:tcW w:w="3508" w:type="dxa"/>
            <w:shd w:val="clear" w:color="auto" w:fill="EEF2F6"/>
          </w:tcPr>
          <w:p>
            <w:pPr>
              <w:pStyle w:val="Compact"/>
              <w:spacing w:after="20" w:before="20"/>
              <w:jc w:val="left"/>
            </w:pPr>
            <w:r>
              <w:rPr>
                <w:sz w:val="18"/>
              </w:rPr>
              <w:t xml:space="preserve">Taux de réussite des restaurations témoin</w:t>
            </w:r>
          </w:p>
        </w:tc>
        <w:tc>
          <w:tcPr>
            <w:tcW w:w="4534" w:type="dxa"/>
            <w:shd w:val="clear" w:color="auto" w:fill="EEF2F6"/>
          </w:tcPr>
          <w:p>
            <w:pPr>
              <w:pStyle w:val="Compact"/>
              <w:spacing w:after="20" w:before="20"/>
              <w:jc w:val="left"/>
            </w:pPr>
            <w:r>
              <w:rPr>
                <w:sz w:val="18"/>
              </w:rPr>
              <w:t xml:space="preserve">Témoins conformes / témoins exécutés</w:t>
            </w:r>
          </w:p>
        </w:tc>
        <w:tc>
          <w:tcPr>
            <w:tcW w:w="1369" w:type="dxa"/>
            <w:shd w:val="clear" w:color="auto" w:fill="EEF2F6"/>
          </w:tcPr>
          <w:p>
            <w:pPr>
              <w:pStyle w:val="Compact"/>
              <w:spacing w:after="20" w:before="20"/>
              <w:jc w:val="left"/>
            </w:pPr>
            <w:r>
              <w:rPr>
                <w:sz w:val="18"/>
              </w:rPr>
              <w:t xml:space="preserve">100 %</w:t>
            </w:r>
          </w:p>
        </w:tc>
      </w:tr>
      <w:tr>
        <w:trPr>
          <w:cantSplit w:val="true"/>
        </w:trPr>
        <w:tc>
          <w:tcPr>
            <w:tcW w:w="3508" w:type="dxa"/>
          </w:tcPr>
          <w:p>
            <w:pPr>
              <w:pStyle w:val="Compact"/>
              <w:spacing w:after="20" w:before="20"/>
              <w:jc w:val="left"/>
            </w:pPr>
            <w:r>
              <w:rPr>
                <w:sz w:val="18"/>
              </w:rPr>
              <w:t xml:space="preserve">Délai de reprise des sauvegardes échouées</w:t>
            </w:r>
          </w:p>
        </w:tc>
        <w:tc>
          <w:tcPr>
            <w:tcW w:w="4534" w:type="dxa"/>
          </w:tcPr>
          <w:p>
            <w:pPr>
              <w:pStyle w:val="Compact"/>
              <w:spacing w:after="20" w:before="20"/>
              <w:jc w:val="left"/>
            </w:pPr>
            <w:r>
              <w:rPr>
                <w:sz w:val="18"/>
              </w:rPr>
              <w:t xml:space="preserve">Temps moyen entre échec et réussite</w:t>
            </w:r>
          </w:p>
        </w:tc>
        <w:tc>
          <w:tcPr>
            <w:tcW w:w="1369" w:type="dxa"/>
          </w:tcPr>
          <w:p>
            <w:pPr>
              <w:pStyle w:val="Compact"/>
              <w:spacing w:after="20" w:before="20"/>
              <w:jc w:val="left"/>
            </w:pPr>
            <w:r>
              <w:rPr>
                <w:sz w:val="18"/>
              </w:rPr>
              <w:t xml:space="preserve">&lt; 24 h</w:t>
            </w:r>
          </w:p>
        </w:tc>
      </w:tr>
      <w:tr>
        <w:trPr>
          <w:cantSplit w:val="true"/>
        </w:trPr>
        <w:tc>
          <w:tcPr>
            <w:tcW w:w="3508" w:type="dxa"/>
            <w:shd w:val="clear" w:color="auto" w:fill="EEF2F6"/>
          </w:tcPr>
          <w:p>
            <w:pPr>
              <w:pStyle w:val="Compact"/>
              <w:spacing w:after="20" w:before="20"/>
              <w:jc w:val="left"/>
            </w:pPr>
            <w:r>
              <w:rPr>
                <w:sz w:val="18"/>
              </w:rPr>
              <w:t xml:space="preserve">Couverture du périmètre</w:t>
            </w:r>
          </w:p>
        </w:tc>
        <w:tc>
          <w:tcPr>
            <w:tcW w:w="4534" w:type="dxa"/>
            <w:shd w:val="clear" w:color="auto" w:fill="EEF2F6"/>
          </w:tcPr>
          <w:p>
            <w:pPr>
              <w:pStyle w:val="Compact"/>
              <w:spacing w:after="20" w:before="20"/>
              <w:jc w:val="left"/>
            </w:pPr>
            <w:r>
              <w:rPr>
                <w:sz w:val="18"/>
              </w:rPr>
              <w:t xml:space="preserve">Actifs sauvegardés / actifs de la CMDB soumis à l'OGS</w:t>
            </w:r>
          </w:p>
        </w:tc>
        <w:tc>
          <w:tcPr>
            <w:tcW w:w="1369" w:type="dxa"/>
            <w:shd w:val="clear" w:color="auto" w:fill="EEF2F6"/>
          </w:tcPr>
          <w:p>
            <w:pPr>
              <w:pStyle w:val="Compact"/>
              <w:spacing w:after="20" w:before="20"/>
              <w:jc w:val="left"/>
            </w:pPr>
            <w:r>
              <w:rPr>
                <w:sz w:val="18"/>
              </w:rPr>
              <w:t xml:space="preserve">100 %</w:t>
            </w:r>
          </w:p>
        </w:tc>
      </w:tr>
      <w:tr>
        <w:trPr>
          <w:cantSplit w:val="true"/>
        </w:trPr>
        <w:tc>
          <w:tcPr>
            <w:tcW w:w="3508" w:type="dxa"/>
          </w:tcPr>
          <w:p>
            <w:pPr>
              <w:pStyle w:val="Compact"/>
              <w:spacing w:after="20" w:before="20"/>
              <w:jc w:val="left"/>
            </w:pPr>
            <w:r>
              <w:rPr>
                <w:sz w:val="18"/>
              </w:rPr>
              <w:t xml:space="preserve">Remplissage de la capacité</w:t>
            </w:r>
          </w:p>
        </w:tc>
        <w:tc>
          <w:tcPr>
            <w:tcW w:w="4534" w:type="dxa"/>
          </w:tcPr>
          <w:p>
            <w:pPr>
              <w:pStyle w:val="Compact"/>
              <w:spacing w:after="20" w:before="20"/>
              <w:jc w:val="left"/>
            </w:pPr>
            <w:r>
              <w:rPr>
                <w:sz w:val="18"/>
              </w:rPr>
              <w:t xml:space="preserve">Capacité utilisée / capacité disponible</w:t>
            </w:r>
          </w:p>
        </w:tc>
        <w:tc>
          <w:tcPr>
            <w:tcW w:w="1369" w:type="dxa"/>
          </w:tcPr>
          <w:p>
            <w:pPr>
              <w:pStyle w:val="Compact"/>
              <w:spacing w:after="20" w:before="20"/>
              <w:jc w:val="left"/>
            </w:pPr>
            <w:r>
              <w:rPr>
                <w:sz w:val="18"/>
              </w:rPr>
              <w:t xml:space="preserve">&lt; 80 %</w:t>
            </w:r>
          </w:p>
        </w:tc>
      </w:tr>
    </w:tbl>
    <w:bookmarkEnd w:id="112"/>
    <w:bookmarkStart w:id="113" w:name="indicateurs-de-gestion-tactique-igt"/>
    <w:p>
      <w:pPr>
        <w:pStyle w:val="Heading3"/>
      </w:pPr>
      <w:r>
        <w:t xml:space="preserve">11.2.2 Indicateurs de gestion tactique (IGT)</w:t>
      </w:r>
    </w:p>
    <w:p>
      <w:pPr>
        <w:pStyle w:val="FirstParagraph"/>
      </w:pPr>
      <w:r>
        <w:t xml:space="preserve">Construits et utilisés par le RPCI, gestionnaire du processus de continuité, pour évaluer la maîtrise des risques, le respect des engagements, le respect de la stratégie par les intervenants et les besoins d'amélioration du processus.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025"/>
        <w:gridCol w:w="5042"/>
        <w:gridCol w:w="1344"/>
      </w:tblGrid>
      <w:tr>
        <w:trPr>
          <w:tblHeader w:val="true"/>
          <w:tblHeader w:val="true"/>
          <w:cantSplit w:val="true"/>
        </w:trPr>
        <w:tc>
          <w:tcPr>
            <w:tcW w:w="3025" w:type="dxa"/>
            <w:shd w:val="clear" w:color="auto" w:fill="1F3A5F"/>
          </w:tcPr>
          <w:p>
            <w:pPr>
              <w:pStyle w:val="Compact"/>
              <w:spacing w:after="20" w:before="20"/>
              <w:jc w:val="left"/>
            </w:pPr>
            <w:r>
              <w:rPr>
                <w:b/>
                <w:color w:val="FFFFFF"/>
                <w:sz w:val="18"/>
              </w:rPr>
              <w:t xml:space="preserve">Indicateur</w:t>
            </w:r>
          </w:p>
        </w:tc>
        <w:tc>
          <w:tcPr>
            <w:tcW w:w="5042" w:type="dxa"/>
            <w:shd w:val="clear" w:color="auto" w:fill="1F3A5F"/>
          </w:tcPr>
          <w:p>
            <w:pPr>
              <w:pStyle w:val="Compact"/>
              <w:spacing w:after="20" w:before="20"/>
              <w:jc w:val="left"/>
            </w:pPr>
            <w:r>
              <w:rPr>
                <w:b/>
                <w:color w:val="FFFFFF"/>
                <w:sz w:val="18"/>
              </w:rPr>
              <w:t xml:space="preserve">Formule</w:t>
            </w:r>
          </w:p>
        </w:tc>
        <w:tc>
          <w:tcPr>
            <w:tcW w:w="1344" w:type="dxa"/>
            <w:shd w:val="clear" w:color="auto" w:fill="1F3A5F"/>
          </w:tcPr>
          <w:p>
            <w:pPr>
              <w:pStyle w:val="Compact"/>
              <w:spacing w:after="20" w:before="20"/>
              <w:jc w:val="left"/>
            </w:pPr>
            <w:r>
              <w:rPr>
                <w:b/>
                <w:color w:val="FFFFFF"/>
                <w:sz w:val="18"/>
              </w:rPr>
              <w:t xml:space="preserve">Cible indicative</w:t>
            </w:r>
          </w:p>
        </w:tc>
      </w:tr>
      <w:tr>
        <w:trPr>
          <w:cantSplit w:val="true"/>
        </w:trPr>
        <w:tc>
          <w:tcPr>
            <w:tcW w:w="3025" w:type="dxa"/>
          </w:tcPr>
          <w:p>
            <w:pPr>
              <w:pStyle w:val="Compact"/>
              <w:spacing w:after="20" w:before="20"/>
              <w:jc w:val="left"/>
            </w:pPr>
            <w:r>
              <w:rPr>
                <w:sz w:val="18"/>
              </w:rPr>
              <w:t xml:space="preserve">Respect de la PDMA</w:t>
            </w:r>
          </w:p>
        </w:tc>
        <w:tc>
          <w:tcPr>
            <w:tcW w:w="5042" w:type="dxa"/>
          </w:tcPr>
          <w:p>
            <w:pPr>
              <w:pStyle w:val="Compact"/>
              <w:spacing w:after="20" w:before="20"/>
              <w:jc w:val="left"/>
            </w:pPr>
            <w:r>
              <w:rPr>
                <w:sz w:val="18"/>
              </w:rPr>
              <w:t xml:space="preserve">Actifs dont la dernière sauvegarde valide respecte la PDMA / actifs couverts</w:t>
            </w:r>
          </w:p>
        </w:tc>
        <w:tc>
          <w:tcPr>
            <w:tcW w:w="1344" w:type="dxa"/>
          </w:tcPr>
          <w:p>
            <w:pPr>
              <w:pStyle w:val="Compact"/>
              <w:spacing w:after="20" w:before="20"/>
              <w:jc w:val="left"/>
            </w:pPr>
            <w:r>
              <w:rPr>
                <w:sz w:val="18"/>
              </w:rPr>
              <w:t xml:space="preserve">≥ 99 %</w:t>
            </w:r>
          </w:p>
        </w:tc>
      </w:tr>
      <w:tr>
        <w:trPr>
          <w:cantSplit w:val="true"/>
        </w:trPr>
        <w:tc>
          <w:tcPr>
            <w:tcW w:w="3025" w:type="dxa"/>
            <w:shd w:val="clear" w:color="auto" w:fill="EEF2F6"/>
          </w:tcPr>
          <w:p>
            <w:pPr>
              <w:pStyle w:val="Compact"/>
              <w:spacing w:after="20" w:before="20"/>
              <w:jc w:val="left"/>
            </w:pPr>
            <w:r>
              <w:rPr>
                <w:sz w:val="18"/>
              </w:rPr>
              <w:t xml:space="preserve">Couverture des tests de restauration</w:t>
            </w:r>
          </w:p>
        </w:tc>
        <w:tc>
          <w:tcPr>
            <w:tcW w:w="5042" w:type="dxa"/>
            <w:shd w:val="clear" w:color="auto" w:fill="EEF2F6"/>
          </w:tcPr>
          <w:p>
            <w:pPr>
              <w:pStyle w:val="Compact"/>
              <w:spacing w:after="20" w:before="20"/>
              <w:jc w:val="left"/>
            </w:pPr>
            <w:r>
              <w:rPr>
                <w:sz w:val="18"/>
              </w:rPr>
              <w:t xml:space="preserve">Applications critiques restaurées avec succès sur 12 mois / applications critiques</w:t>
            </w:r>
          </w:p>
        </w:tc>
        <w:tc>
          <w:tcPr>
            <w:tcW w:w="1344" w:type="dxa"/>
            <w:shd w:val="clear" w:color="auto" w:fill="EEF2F6"/>
          </w:tcPr>
          <w:p>
            <w:pPr>
              <w:pStyle w:val="Compact"/>
              <w:spacing w:after="20" w:before="20"/>
              <w:jc w:val="left"/>
            </w:pPr>
            <w:r>
              <w:rPr>
                <w:sz w:val="18"/>
              </w:rPr>
              <w:t xml:space="preserve">100 %</w:t>
            </w:r>
          </w:p>
        </w:tc>
      </w:tr>
      <w:tr>
        <w:trPr>
          <w:cantSplit w:val="true"/>
        </w:trPr>
        <w:tc>
          <w:tcPr>
            <w:tcW w:w="3025" w:type="dxa"/>
          </w:tcPr>
          <w:p>
            <w:pPr>
              <w:pStyle w:val="Compact"/>
              <w:spacing w:after="20" w:before="20"/>
              <w:jc w:val="left"/>
            </w:pPr>
            <w:r>
              <w:rPr>
                <w:sz w:val="18"/>
              </w:rPr>
              <w:t xml:space="preserve">Couverture de l'isolation</w:t>
            </w:r>
          </w:p>
        </w:tc>
        <w:tc>
          <w:tcPr>
            <w:tcW w:w="5042" w:type="dxa"/>
          </w:tcPr>
          <w:p>
            <w:pPr>
              <w:pStyle w:val="Compact"/>
              <w:spacing w:after="20" w:before="20"/>
              <w:jc w:val="left"/>
            </w:pPr>
            <w:r>
              <w:rPr>
                <w:sz w:val="18"/>
              </w:rPr>
              <w:t xml:space="preserve">Données critiques disposant d'une copie immuable ou isolée / données critiques</w:t>
            </w:r>
          </w:p>
        </w:tc>
        <w:tc>
          <w:tcPr>
            <w:tcW w:w="1344" w:type="dxa"/>
          </w:tcPr>
          <w:p>
            <w:pPr>
              <w:pStyle w:val="Compact"/>
              <w:spacing w:after="20" w:before="20"/>
              <w:jc w:val="left"/>
            </w:pPr>
            <w:r>
              <w:rPr>
                <w:sz w:val="18"/>
              </w:rPr>
              <w:t xml:space="preserve">100 %</w:t>
            </w:r>
          </w:p>
        </w:tc>
      </w:tr>
      <w:tr>
        <w:trPr>
          <w:cantSplit w:val="true"/>
        </w:trPr>
        <w:tc>
          <w:tcPr>
            <w:tcW w:w="3025" w:type="dxa"/>
            <w:shd w:val="clear" w:color="auto" w:fill="EEF2F6"/>
          </w:tcPr>
          <w:p>
            <w:pPr>
              <w:pStyle w:val="Compact"/>
              <w:spacing w:after="20" w:before="20"/>
              <w:jc w:val="left"/>
            </w:pPr>
            <w:r>
              <w:rPr>
                <w:sz w:val="18"/>
              </w:rPr>
              <w:t xml:space="preserve">Écart DMIA en exercice</w:t>
            </w:r>
          </w:p>
        </w:tc>
        <w:tc>
          <w:tcPr>
            <w:tcW w:w="5042" w:type="dxa"/>
            <w:shd w:val="clear" w:color="auto" w:fill="EEF2F6"/>
          </w:tcPr>
          <w:p>
            <w:pPr>
              <w:pStyle w:val="Compact"/>
              <w:spacing w:after="20" w:before="20"/>
              <w:jc w:val="left"/>
            </w:pPr>
            <w:r>
              <w:rPr>
                <w:sz w:val="18"/>
              </w:rPr>
              <w:t xml:space="preserve">DMIA mesurée / DMIA engagée</w:t>
            </w:r>
          </w:p>
        </w:tc>
        <w:tc>
          <w:tcPr>
            <w:tcW w:w="1344" w:type="dxa"/>
            <w:shd w:val="clear" w:color="auto" w:fill="EEF2F6"/>
          </w:tcPr>
          <w:p>
            <w:pPr>
              <w:pStyle w:val="Compact"/>
              <w:spacing w:after="20" w:before="20"/>
              <w:jc w:val="left"/>
            </w:pPr>
            <w:r>
              <w:rPr>
                <w:sz w:val="18"/>
              </w:rPr>
              <w:t xml:space="preserve">≤ 1</w:t>
            </w:r>
          </w:p>
        </w:tc>
      </w:tr>
      <w:tr>
        <w:trPr>
          <w:cantSplit w:val="true"/>
        </w:trPr>
        <w:tc>
          <w:tcPr>
            <w:tcW w:w="3025" w:type="dxa"/>
          </w:tcPr>
          <w:p>
            <w:pPr>
              <w:pStyle w:val="Compact"/>
              <w:spacing w:after="20" w:before="20"/>
              <w:jc w:val="left"/>
            </w:pPr>
            <w:r>
              <w:rPr>
                <w:sz w:val="18"/>
              </w:rPr>
              <w:t xml:space="preserve">Actions correctives en retard</w:t>
            </w:r>
          </w:p>
        </w:tc>
        <w:tc>
          <w:tcPr>
            <w:tcW w:w="5042" w:type="dxa"/>
          </w:tcPr>
          <w:p>
            <w:pPr>
              <w:pStyle w:val="Compact"/>
              <w:spacing w:after="20" w:before="20"/>
              <w:jc w:val="left"/>
            </w:pPr>
            <w:r>
              <w:rPr>
                <w:sz w:val="18"/>
              </w:rPr>
              <w:t xml:space="preserve">Actions échues non soldées / actions ouvertes</w:t>
            </w:r>
          </w:p>
        </w:tc>
        <w:tc>
          <w:tcPr>
            <w:tcW w:w="1344" w:type="dxa"/>
          </w:tcPr>
          <w:p>
            <w:pPr>
              <w:pStyle w:val="Compact"/>
              <w:spacing w:after="20" w:before="20"/>
              <w:jc w:val="left"/>
            </w:pPr>
            <w:r>
              <w:rPr>
                <w:sz w:val="18"/>
              </w:rPr>
              <w:t xml:space="preserve">&lt; 10 %</w:t>
            </w:r>
          </w:p>
        </w:tc>
      </w:tr>
    </w:tbl>
    <w:bookmarkEnd w:id="113"/>
    <w:bookmarkStart w:id="114" w:name="indicateurs-de-gestion-stratégique-igs"/>
    <w:p>
      <w:pPr>
        <w:pStyle w:val="Heading3"/>
      </w:pPr>
      <w:r>
        <w:t xml:space="preserve">11.2.3 Indicateurs de gestion stratégique (IGS)</w:t>
      </w:r>
    </w:p>
    <w:p>
      <w:pPr>
        <w:pStyle w:val="FirstParagraph"/>
      </w:pPr>
      <w:r>
        <w:t xml:space="preserve">Constitués par le DIO à partir des informations de ses responsables de service et du RPCI, ils aident au pilotage des directions concernées par la continuité.</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467"/>
        <w:gridCol w:w="5944"/>
      </w:tblGrid>
      <w:tr>
        <w:trPr>
          <w:tblHeader w:val="true"/>
          <w:tblHeader w:val="true"/>
          <w:cantSplit w:val="true"/>
        </w:trPr>
        <w:tc>
          <w:tcPr>
            <w:tcW w:w="3467" w:type="dxa"/>
            <w:shd w:val="clear" w:color="auto" w:fill="1F3A5F"/>
          </w:tcPr>
          <w:p>
            <w:pPr>
              <w:pStyle w:val="Compact"/>
              <w:spacing w:after="20" w:before="20"/>
              <w:jc w:val="left"/>
            </w:pPr>
            <w:r>
              <w:rPr>
                <w:b/>
                <w:color w:val="FFFFFF"/>
                <w:sz w:val="18"/>
              </w:rPr>
              <w:t xml:space="preserve">Indicateur</w:t>
            </w:r>
          </w:p>
        </w:tc>
        <w:tc>
          <w:tcPr>
            <w:tcW w:w="5944" w:type="dxa"/>
            <w:shd w:val="clear" w:color="auto" w:fill="1F3A5F"/>
          </w:tcPr>
          <w:p>
            <w:pPr>
              <w:pStyle w:val="Compact"/>
              <w:spacing w:after="20" w:before="20"/>
              <w:jc w:val="left"/>
            </w:pPr>
            <w:r>
              <w:rPr>
                <w:b/>
                <w:color w:val="FFFFFF"/>
                <w:sz w:val="18"/>
              </w:rPr>
              <w:t xml:space="preserve">Contenu</w:t>
            </w:r>
          </w:p>
        </w:tc>
      </w:tr>
      <w:tr>
        <w:trPr>
          <w:cantSplit w:val="true"/>
        </w:trPr>
        <w:tc>
          <w:tcPr>
            <w:tcW w:w="3467" w:type="dxa"/>
          </w:tcPr>
          <w:p>
            <w:pPr>
              <w:pStyle w:val="Compact"/>
              <w:spacing w:after="20" w:before="20"/>
              <w:jc w:val="left"/>
            </w:pPr>
            <w:r>
              <w:rPr>
                <w:sz w:val="18"/>
              </w:rPr>
              <w:t xml:space="preserve">Niveau de conformité à la stratégie</w:t>
            </w:r>
          </w:p>
        </w:tc>
        <w:tc>
          <w:tcPr>
            <w:tcW w:w="5944" w:type="dxa"/>
          </w:tcPr>
          <w:p>
            <w:pPr>
              <w:pStyle w:val="Compact"/>
              <w:spacing w:after="20" w:before="20"/>
              <w:jc w:val="left"/>
            </w:pPr>
            <w:r>
              <w:rPr>
                <w:sz w:val="18"/>
              </w:rPr>
              <w:t xml:space="preserve">Synthèse pondérée des IGT</w:t>
            </w:r>
          </w:p>
        </w:tc>
      </w:tr>
      <w:tr>
        <w:trPr>
          <w:cantSplit w:val="true"/>
        </w:trPr>
        <w:tc>
          <w:tcPr>
            <w:tcW w:w="3467" w:type="dxa"/>
            <w:shd w:val="clear" w:color="auto" w:fill="EEF2F6"/>
          </w:tcPr>
          <w:p>
            <w:pPr>
              <w:pStyle w:val="Compact"/>
              <w:spacing w:after="20" w:before="20"/>
              <w:jc w:val="left"/>
            </w:pPr>
            <w:r>
              <w:rPr>
                <w:sz w:val="18"/>
              </w:rPr>
              <w:t xml:space="preserve">Exposition résiduelle</w:t>
            </w:r>
          </w:p>
        </w:tc>
        <w:tc>
          <w:tcPr>
            <w:tcW w:w="5944" w:type="dxa"/>
            <w:shd w:val="clear" w:color="auto" w:fill="EEF2F6"/>
          </w:tcPr>
          <w:p>
            <w:pPr>
              <w:pStyle w:val="Compact"/>
              <w:spacing w:after="20" w:before="20"/>
              <w:jc w:val="left"/>
            </w:pPr>
            <w:r>
              <w:rPr>
                <w:sz w:val="18"/>
              </w:rPr>
              <w:t xml:space="preserve">Scénarios dont l'engagement n'est pas démontré par un exercice</w:t>
            </w:r>
          </w:p>
        </w:tc>
      </w:tr>
      <w:tr>
        <w:trPr>
          <w:cantSplit w:val="true"/>
        </w:trPr>
        <w:tc>
          <w:tcPr>
            <w:tcW w:w="3467" w:type="dxa"/>
          </w:tcPr>
          <w:p>
            <w:pPr>
              <w:pStyle w:val="Compact"/>
              <w:spacing w:after="20" w:before="20"/>
              <w:jc w:val="left"/>
            </w:pPr>
            <w:r>
              <w:rPr>
                <w:sz w:val="18"/>
              </w:rPr>
              <w:t xml:space="preserve">Tendance des incidents majeurs</w:t>
            </w:r>
          </w:p>
        </w:tc>
        <w:tc>
          <w:tcPr>
            <w:tcW w:w="5944" w:type="dxa"/>
          </w:tcPr>
          <w:p>
            <w:pPr>
              <w:pStyle w:val="Compact"/>
              <w:spacing w:after="20" w:before="20"/>
              <w:jc w:val="left"/>
            </w:pPr>
            <w:r>
              <w:rPr>
                <w:sz w:val="18"/>
              </w:rPr>
              <w:t xml:space="preserve">Nombre et gravité sur 12 mois glissants</w:t>
            </w:r>
          </w:p>
        </w:tc>
      </w:tr>
      <w:tr>
        <w:trPr>
          <w:cantSplit w:val="true"/>
        </w:trPr>
        <w:tc>
          <w:tcPr>
            <w:tcW w:w="3467" w:type="dxa"/>
            <w:shd w:val="clear" w:color="auto" w:fill="EEF2F6"/>
          </w:tcPr>
          <w:p>
            <w:pPr>
              <w:pStyle w:val="Compact"/>
              <w:spacing w:after="20" w:before="20"/>
              <w:jc w:val="left"/>
            </w:pPr>
            <w:r>
              <w:rPr>
                <w:sz w:val="18"/>
              </w:rPr>
              <w:t xml:space="preserve">Avancement du plan d'action</w:t>
            </w:r>
          </w:p>
        </w:tc>
        <w:tc>
          <w:tcPr>
            <w:tcW w:w="5944" w:type="dxa"/>
            <w:shd w:val="clear" w:color="auto" w:fill="EEF2F6"/>
          </w:tcPr>
          <w:p>
            <w:pPr>
              <w:pStyle w:val="Compact"/>
              <w:spacing w:after="20" w:before="20"/>
              <w:jc w:val="left"/>
            </w:pPr>
            <w:r>
              <w:rPr>
                <w:sz w:val="18"/>
              </w:rPr>
              <w:t xml:space="preserve">Réalisé / prévu</w:t>
            </w:r>
          </w:p>
        </w:tc>
      </w:tr>
    </w:tbl>
    <w:bookmarkEnd w:id="114"/>
    <w:bookmarkEnd w:id="115"/>
    <w:bookmarkStart w:id="119" w:name="suivi-et-contrôle"/>
    <w:p>
      <w:pPr>
        <w:pStyle w:val="Heading2"/>
      </w:pPr>
      <w:r>
        <w:t xml:space="preserve">11.3 Suivi et contrôle</w:t>
      </w:r>
    </w:p>
    <w:p>
      <w:pPr>
        <w:pStyle w:val="FirstParagraph"/>
      </w:pPr>
      <w:r>
        <w:t xml:space="preserve">Les indicateurs font l'objet d'un suivi permettant d'en interpréter l'évolution et d'acter les évolutions, maintenances et corrections à apporter aux activités.</w:t>
      </w:r>
    </w:p>
    <w:bookmarkStart w:id="116" w:name="niveau-opérationnel"/>
    <w:p>
      <w:pPr>
        <w:pStyle w:val="Heading3"/>
      </w:pPr>
      <w:r>
        <w:t xml:space="preserve">11.3.1 Niveau opérationnel</w:t>
      </w:r>
    </w:p>
    <w:p>
      <w:pPr>
        <w:pStyle w:val="FirstParagraph"/>
      </w:pPr>
      <w:r>
        <w:t xml:space="preserve">Suivi assuré par le</w:t>
      </w:r>
      <w:r>
        <w:t xml:space="preserve"> </w:t>
      </w:r>
      <w:r>
        <w:rPr>
          <w:bCs/>
          <w:b/>
        </w:rPr>
        <w:t xml:space="preserve">Responsable de Production</w:t>
      </w:r>
      <w:r>
        <w:t xml:space="preserve">. Contrôle par le</w:t>
      </w:r>
      <w:r>
        <w:t xml:space="preserve"> </w:t>
      </w:r>
      <w:r>
        <w:rPr>
          <w:bCs/>
          <w:b/>
        </w:rPr>
        <w:t xml:space="preserve">RPCI</w:t>
      </w:r>
      <w:r>
        <w:t xml:space="preserve">, qui :</w:t>
      </w:r>
    </w:p>
    <w:p>
      <w:pPr>
        <w:numPr>
          <w:ilvl w:val="0"/>
          <w:numId w:val="1052"/>
        </w:numPr>
        <w:pStyle w:val="Compact"/>
      </w:pPr>
      <w:r>
        <w:t xml:space="preserve">analyse le rapport mensuel de synthèse des incidents de sauvegarde (§7.4.2) ;</w:t>
      </w:r>
    </w:p>
    <w:p>
      <w:pPr>
        <w:numPr>
          <w:ilvl w:val="0"/>
          <w:numId w:val="1052"/>
        </w:numPr>
        <w:pStyle w:val="Compact"/>
      </w:pPr>
      <w:r>
        <w:t xml:space="preserve">réalise un contrôle mensuel des sauvegardes par échantillonnage aléatoire ;</w:t>
      </w:r>
    </w:p>
    <w:p>
      <w:pPr>
        <w:numPr>
          <w:ilvl w:val="0"/>
          <w:numId w:val="1052"/>
        </w:numPr>
        <w:pStyle w:val="Compact"/>
      </w:pPr>
      <w:r>
        <w:t xml:space="preserve">fait réaliser au moins un audit annuel des sauvegardes sur un périmètre technique ou fonctionnel complet.</w:t>
      </w:r>
    </w:p>
    <w:p>
      <w:pPr>
        <w:pStyle w:val="FirstParagraph"/>
      </w:pPr>
      <w:r>
        <w:t xml:space="preserve">En cas de dysfonctionnement, le RPCI s'assure que l'anomalie est référencée ; la remise en état relève de la gestion des incidents.</w:t>
      </w:r>
    </w:p>
    <w:bookmarkEnd w:id="116"/>
    <w:bookmarkStart w:id="117" w:name="niveau-tactique"/>
    <w:p>
      <w:pPr>
        <w:pStyle w:val="Heading3"/>
      </w:pPr>
      <w:r>
        <w:t xml:space="preserve">11.3.2 Niveau tactique</w:t>
      </w:r>
    </w:p>
    <w:p>
      <w:pPr>
        <w:pStyle w:val="FirstParagraph"/>
      </w:pPr>
      <w:r>
        <w:t xml:space="preserve">Suivi assuré par le</w:t>
      </w:r>
      <w:r>
        <w:t xml:space="preserve"> </w:t>
      </w:r>
      <w:r>
        <w:rPr>
          <w:bCs/>
          <w:b/>
        </w:rPr>
        <w:t xml:space="preserve">RPCI</w:t>
      </w:r>
      <w:r>
        <w:t xml:space="preserve">, pour vérifier l'effectivité et l'efficacité des sauvegardes et identifier le niveau de sécurisation des données et les besoins de remise à niveau.</w:t>
      </w:r>
    </w:p>
    <w:p>
      <w:pPr>
        <w:pStyle w:val="BodyText"/>
      </w:pPr>
      <w:r>
        <w:t xml:space="preserve">Contrôle par le</w:t>
      </w:r>
      <w:r>
        <w:t xml:space="preserve"> </w:t>
      </w:r>
      <w:r>
        <w:rPr>
          <w:bCs/>
          <w:b/>
        </w:rPr>
        <w:t xml:space="preserve">DIO</w:t>
      </w:r>
      <w:r>
        <w:t xml:space="preserve">, qui vérifie le respect de la stratégie par l'ensemble des intervenants, détermine les évolutions de gouvernance nécessaires et identifie le besoin de révision.</w:t>
      </w:r>
    </w:p>
    <w:bookmarkEnd w:id="117"/>
    <w:bookmarkStart w:id="118" w:name="niveau-stratégique"/>
    <w:p>
      <w:pPr>
        <w:pStyle w:val="Heading3"/>
      </w:pPr>
      <w:r>
        <w:t xml:space="preserve">11.3.3 Niveau stratégique</w:t>
      </w:r>
    </w:p>
    <w:p>
      <w:pPr>
        <w:pStyle w:val="FirstParagraph"/>
      </w:pPr>
      <w:r>
        <w:t xml:space="preserve">Suivi assuré par le</w:t>
      </w:r>
      <w:r>
        <w:t xml:space="preserve"> </w:t>
      </w:r>
      <w:r>
        <w:rPr>
          <w:bCs/>
          <w:b/>
        </w:rPr>
        <w:t xml:space="preserve">DIO</w:t>
      </w:r>
      <w:r>
        <w:t xml:space="preserve"> </w:t>
      </w:r>
      <w:r>
        <w:t xml:space="preserve">; contrôle par le</w:t>
      </w:r>
      <w:r>
        <w:t xml:space="preserve"> </w:t>
      </w:r>
      <w:r>
        <w:rPr>
          <w:bCs/>
          <w:b/>
        </w:rPr>
        <w:t xml:space="preserve">DSI</w:t>
      </w:r>
      <w:r>
        <w:t xml:space="preserve">, avec information du RSSI.</w:t>
      </w:r>
    </w:p>
    <w:bookmarkEnd w:id="118"/>
    <w:bookmarkEnd w:id="119"/>
    <w:bookmarkStart w:id="120" w:name="reporting"/>
    <w:p>
      <w:pPr>
        <w:pStyle w:val="Heading2"/>
      </w:pPr>
      <w:r>
        <w:t xml:space="preserve">11.4 Reporting</w:t>
      </w:r>
    </w:p>
    <w:p>
      <w:pPr>
        <w:pStyle w:val="FirstParagraph"/>
      </w:pPr>
      <w:r>
        <w:t xml:space="preserve">Les activités de suivi et de contrôle alimentent des reportings réguliers et planifiés qui permettent :</w:t>
      </w:r>
    </w:p>
    <w:p>
      <w:pPr>
        <w:numPr>
          <w:ilvl w:val="0"/>
          <w:numId w:val="1053"/>
        </w:numPr>
        <w:pStyle w:val="Compact"/>
      </w:pPr>
      <w:r>
        <w:t xml:space="preserve">d'établir une « météo » de la sauvegarde ;</w:t>
      </w:r>
    </w:p>
    <w:p>
      <w:pPr>
        <w:numPr>
          <w:ilvl w:val="0"/>
          <w:numId w:val="1053"/>
        </w:numPr>
        <w:pStyle w:val="Compact"/>
      </w:pPr>
      <w:r>
        <w:t xml:space="preserve">de consolider l'historique ;</w:t>
      </w:r>
    </w:p>
    <w:p>
      <w:pPr>
        <w:numPr>
          <w:ilvl w:val="0"/>
          <w:numId w:val="1053"/>
        </w:numPr>
        <w:pStyle w:val="Compact"/>
      </w:pPr>
      <w:r>
        <w:t xml:space="preserve">de s'appuyer sur des indicateurs pertinents, reflétant fidèlement l'activité ;</w:t>
      </w:r>
    </w:p>
    <w:p>
      <w:pPr>
        <w:numPr>
          <w:ilvl w:val="0"/>
          <w:numId w:val="1053"/>
        </w:numPr>
        <w:pStyle w:val="Compact"/>
      </w:pPr>
      <w:r>
        <w:t xml:space="preserve">de partager l'information avec les parties prenantes.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488"/>
        <w:gridCol w:w="1032"/>
        <w:gridCol w:w="1527"/>
        <w:gridCol w:w="3364"/>
      </w:tblGrid>
      <w:tr>
        <w:trPr>
          <w:tblHeader w:val="true"/>
          <w:tblHeader w:val="true"/>
          <w:cantSplit w:val="true"/>
        </w:trPr>
        <w:tc>
          <w:tcPr>
            <w:tcW w:w="3488" w:type="dxa"/>
            <w:shd w:val="clear" w:color="auto" w:fill="1F3A5F"/>
          </w:tcPr>
          <w:p>
            <w:pPr>
              <w:pStyle w:val="Compact"/>
              <w:spacing w:after="20" w:before="20"/>
              <w:jc w:val="left"/>
            </w:pPr>
            <w:r>
              <w:rPr>
                <w:b/>
                <w:color w:val="FFFFFF"/>
                <w:sz w:val="18"/>
              </w:rPr>
              <w:t xml:space="preserve">Rapport</w:t>
            </w:r>
          </w:p>
        </w:tc>
        <w:tc>
          <w:tcPr>
            <w:tcW w:w="1032" w:type="dxa"/>
            <w:shd w:val="clear" w:color="auto" w:fill="1F3A5F"/>
          </w:tcPr>
          <w:p>
            <w:pPr>
              <w:pStyle w:val="Compact"/>
              <w:spacing w:after="20" w:before="20"/>
              <w:jc w:val="left"/>
            </w:pPr>
            <w:r>
              <w:rPr>
                <w:b/>
                <w:color w:val="FFFFFF"/>
                <w:sz w:val="18"/>
              </w:rPr>
              <w:t xml:space="preserve">Émetteur</w:t>
            </w:r>
          </w:p>
        </w:tc>
        <w:tc>
          <w:tcPr>
            <w:tcW w:w="1527" w:type="dxa"/>
            <w:shd w:val="clear" w:color="auto" w:fill="1F3A5F"/>
          </w:tcPr>
          <w:p>
            <w:pPr>
              <w:pStyle w:val="Compact"/>
              <w:spacing w:after="20" w:before="20"/>
              <w:jc w:val="left"/>
            </w:pPr>
            <w:r>
              <w:rPr>
                <w:b/>
                <w:color w:val="FFFFFF"/>
                <w:sz w:val="18"/>
              </w:rPr>
              <w:t xml:space="preserve">Fréquence</w:t>
            </w:r>
          </w:p>
        </w:tc>
        <w:tc>
          <w:tcPr>
            <w:tcW w:w="3364" w:type="dxa"/>
            <w:shd w:val="clear" w:color="auto" w:fill="1F3A5F"/>
          </w:tcPr>
          <w:p>
            <w:pPr>
              <w:pStyle w:val="Compact"/>
              <w:spacing w:after="20" w:before="20"/>
              <w:jc w:val="left"/>
            </w:pPr>
            <w:r>
              <w:rPr>
                <w:b/>
                <w:color w:val="FFFFFF"/>
                <w:sz w:val="18"/>
              </w:rPr>
              <w:t xml:space="preserve">Destinataires</w:t>
            </w:r>
          </w:p>
        </w:tc>
      </w:tr>
      <w:tr>
        <w:trPr>
          <w:cantSplit w:val="true"/>
        </w:trPr>
        <w:tc>
          <w:tcPr>
            <w:tcW w:w="3488" w:type="dxa"/>
          </w:tcPr>
          <w:p>
            <w:pPr>
              <w:pStyle w:val="Compact"/>
              <w:spacing w:after="20" w:before="20"/>
              <w:jc w:val="left"/>
            </w:pPr>
            <w:r>
              <w:rPr>
                <w:sz w:val="18"/>
              </w:rPr>
              <w:t xml:space="preserve">Synthèse des incidents de sauvegarde</w:t>
            </w:r>
          </w:p>
        </w:tc>
        <w:tc>
          <w:tcPr>
            <w:tcW w:w="1032" w:type="dxa"/>
          </w:tcPr>
          <w:p>
            <w:pPr>
              <w:pStyle w:val="Compact"/>
              <w:spacing w:after="20" w:before="20"/>
              <w:jc w:val="left"/>
            </w:pPr>
            <w:r>
              <w:rPr>
                <w:sz w:val="18"/>
              </w:rPr>
              <w:t xml:space="preserve">RPROD</w:t>
            </w:r>
          </w:p>
        </w:tc>
        <w:tc>
          <w:tcPr>
            <w:tcW w:w="1527" w:type="dxa"/>
          </w:tcPr>
          <w:p>
            <w:pPr>
              <w:pStyle w:val="Compact"/>
              <w:spacing w:after="20" w:before="20"/>
              <w:jc w:val="left"/>
            </w:pPr>
            <w:r>
              <w:rPr>
                <w:sz w:val="18"/>
              </w:rPr>
              <w:t xml:space="preserve">Mensuelle</w:t>
            </w:r>
          </w:p>
        </w:tc>
        <w:tc>
          <w:tcPr>
            <w:tcW w:w="3364" w:type="dxa"/>
          </w:tcPr>
          <w:p>
            <w:pPr>
              <w:pStyle w:val="Compact"/>
              <w:spacing w:after="20" w:before="20"/>
              <w:jc w:val="left"/>
            </w:pPr>
            <w:r>
              <w:rPr>
                <w:sz w:val="18"/>
              </w:rPr>
              <w:t xml:space="preserve">RPCI,</w:t>
            </w:r>
            <w:r>
              <w:rPr>
                <w:sz w:val="18"/>
              </w:rPr>
              <w:t xml:space="preserve"> </w:t>
            </w:r>
            <w:r>
              <w:rPr>
                <w:rStyle w:val="VerbatimChar"/>
                <w:b/>
                <w:color w:val="8A5A00"/>
                <w:sz w:val="18"/>
              </w:rPr>
              <w:t xml:space="preserve">{{INSTANCE_TACTIQUE}}</w:t>
            </w:r>
          </w:p>
        </w:tc>
      </w:tr>
      <w:tr>
        <w:trPr>
          <w:cantSplit w:val="true"/>
        </w:trPr>
        <w:tc>
          <w:tcPr>
            <w:tcW w:w="3488" w:type="dxa"/>
            <w:shd w:val="clear" w:color="auto" w:fill="EEF2F6"/>
          </w:tcPr>
          <w:p>
            <w:pPr>
              <w:pStyle w:val="Compact"/>
              <w:spacing w:after="20" w:before="20"/>
              <w:jc w:val="left"/>
            </w:pPr>
            <w:r>
              <w:rPr>
                <w:sz w:val="18"/>
              </w:rPr>
              <w:t xml:space="preserve">Respect de la stratégie</w:t>
            </w:r>
          </w:p>
        </w:tc>
        <w:tc>
          <w:tcPr>
            <w:tcW w:w="1032" w:type="dxa"/>
            <w:shd w:val="clear" w:color="auto" w:fill="EEF2F6"/>
          </w:tcPr>
          <w:p>
            <w:pPr>
              <w:pStyle w:val="Compact"/>
              <w:spacing w:after="20" w:before="20"/>
              <w:jc w:val="left"/>
            </w:pPr>
            <w:r>
              <w:rPr>
                <w:sz w:val="18"/>
              </w:rPr>
              <w:t xml:space="preserve">RPCI</w:t>
            </w:r>
          </w:p>
        </w:tc>
        <w:tc>
          <w:tcPr>
            <w:tcW w:w="1527" w:type="dxa"/>
            <w:shd w:val="clear" w:color="auto" w:fill="EEF2F6"/>
          </w:tcPr>
          <w:p>
            <w:pPr>
              <w:pStyle w:val="Compact"/>
              <w:spacing w:after="20" w:before="20"/>
              <w:jc w:val="left"/>
            </w:pPr>
            <w:r>
              <w:rPr>
                <w:sz w:val="18"/>
              </w:rPr>
              <w:t xml:space="preserve">Trimestrielle</w:t>
            </w:r>
          </w:p>
        </w:tc>
        <w:tc>
          <w:tcPr>
            <w:tcW w:w="3364" w:type="dxa"/>
            <w:shd w:val="clear" w:color="auto" w:fill="EEF2F6"/>
          </w:tcPr>
          <w:p>
            <w:pPr>
              <w:pStyle w:val="Compact"/>
              <w:spacing w:after="20" w:before="20"/>
              <w:jc w:val="left"/>
            </w:pPr>
            <w:r>
              <w:rPr>
                <w:sz w:val="18"/>
              </w:rPr>
              <w:t xml:space="preserve">DSI, DIO, RSSI, RPCA, DARCH, RPROD</w:t>
            </w:r>
          </w:p>
        </w:tc>
      </w:tr>
      <w:tr>
        <w:trPr>
          <w:cantSplit w:val="true"/>
        </w:trPr>
        <w:tc>
          <w:tcPr>
            <w:tcW w:w="3488" w:type="dxa"/>
          </w:tcPr>
          <w:p>
            <w:pPr>
              <w:pStyle w:val="Compact"/>
              <w:spacing w:after="20" w:before="20"/>
              <w:jc w:val="left"/>
            </w:pPr>
            <w:r>
              <w:rPr>
                <w:sz w:val="18"/>
              </w:rPr>
              <w:t xml:space="preserve">Tableau de bord stratégique</w:t>
            </w:r>
          </w:p>
        </w:tc>
        <w:tc>
          <w:tcPr>
            <w:tcW w:w="1032" w:type="dxa"/>
          </w:tcPr>
          <w:p>
            <w:pPr>
              <w:pStyle w:val="Compact"/>
              <w:spacing w:after="20" w:before="20"/>
              <w:jc w:val="left"/>
            </w:pPr>
            <w:r>
              <w:rPr>
                <w:sz w:val="18"/>
              </w:rPr>
              <w:t xml:space="preserve">DIO</w:t>
            </w:r>
          </w:p>
        </w:tc>
        <w:tc>
          <w:tcPr>
            <w:tcW w:w="1527" w:type="dxa"/>
          </w:tcPr>
          <w:p>
            <w:pPr>
              <w:pStyle w:val="Compact"/>
              <w:spacing w:after="20" w:before="20"/>
              <w:jc w:val="left"/>
            </w:pPr>
            <w:r>
              <w:rPr>
                <w:sz w:val="18"/>
              </w:rPr>
              <w:t xml:space="preserve">Semestrielle</w:t>
            </w:r>
          </w:p>
        </w:tc>
        <w:tc>
          <w:tcPr>
            <w:tcW w:w="3364" w:type="dxa"/>
          </w:tcPr>
          <w:p>
            <w:pPr>
              <w:pStyle w:val="Compact"/>
              <w:spacing w:after="20" w:before="20"/>
              <w:jc w:val="left"/>
            </w:pPr>
            <w:r>
              <w:rPr>
                <w:sz w:val="18"/>
              </w:rPr>
              <w:t xml:space="preserve">DSI, comité stratégique</w:t>
            </w:r>
          </w:p>
        </w:tc>
      </w:tr>
      <w:tr>
        <w:trPr>
          <w:cantSplit w:val="true"/>
        </w:trPr>
        <w:tc>
          <w:tcPr>
            <w:tcW w:w="3488" w:type="dxa"/>
            <w:shd w:val="clear" w:color="auto" w:fill="EEF2F6"/>
          </w:tcPr>
          <w:p>
            <w:pPr>
              <w:pStyle w:val="Compact"/>
              <w:spacing w:after="20" w:before="20"/>
              <w:jc w:val="left"/>
            </w:pPr>
            <w:r>
              <w:rPr>
                <w:sz w:val="18"/>
              </w:rPr>
              <w:t xml:space="preserve">Bilan annuel des exercices</w:t>
            </w:r>
          </w:p>
        </w:tc>
        <w:tc>
          <w:tcPr>
            <w:tcW w:w="1032" w:type="dxa"/>
            <w:shd w:val="clear" w:color="auto" w:fill="EEF2F6"/>
          </w:tcPr>
          <w:p>
            <w:pPr>
              <w:pStyle w:val="Compact"/>
              <w:spacing w:after="20" w:before="20"/>
              <w:jc w:val="left"/>
            </w:pPr>
            <w:r>
              <w:rPr>
                <w:sz w:val="18"/>
              </w:rPr>
              <w:t xml:space="preserve">RPCI</w:t>
            </w:r>
          </w:p>
        </w:tc>
        <w:tc>
          <w:tcPr>
            <w:tcW w:w="1527" w:type="dxa"/>
            <w:shd w:val="clear" w:color="auto" w:fill="EEF2F6"/>
          </w:tcPr>
          <w:p>
            <w:pPr>
              <w:pStyle w:val="Compact"/>
              <w:spacing w:after="20" w:before="20"/>
              <w:jc w:val="left"/>
            </w:pPr>
            <w:r>
              <w:rPr>
                <w:sz w:val="18"/>
              </w:rPr>
              <w:t xml:space="preserve">Annuelle</w:t>
            </w:r>
          </w:p>
        </w:tc>
        <w:tc>
          <w:tcPr>
            <w:tcW w:w="3364" w:type="dxa"/>
            <w:shd w:val="clear" w:color="auto" w:fill="EEF2F6"/>
          </w:tcPr>
          <w:p>
            <w:pPr>
              <w:pStyle w:val="Compact"/>
              <w:spacing w:after="20" w:before="20"/>
              <w:jc w:val="left"/>
            </w:pPr>
            <w:r>
              <w:rPr>
                <w:sz w:val="18"/>
              </w:rPr>
              <w:t xml:space="preserve">Comité stratégique, métiers</w:t>
            </w:r>
          </w:p>
        </w:tc>
      </w:tr>
    </w:tbl>
    <w:bookmarkEnd w:id="120"/>
    <w:bookmarkEnd w:id="121"/>
    <w:bookmarkStart w:id="127" w:name="annexes"/>
    <w:p>
      <w:pPr>
        <w:pStyle w:val="Heading1"/>
      </w:pPr>
      <w:r>
        <w:t xml:space="preserve">12. Annexes</w:t>
      </w:r>
    </w:p>
    <w:bookmarkStart w:id="122" w:name="X1a528d2c73a8e51abfacdaa4ce80b5d02b15bbc"/>
    <w:p>
      <w:pPr>
        <w:pStyle w:val="Heading2"/>
      </w:pPr>
      <w:r>
        <w:t xml:space="preserve">Annexe A — Cinématique de sauvegarde et de restauration selon l'ampleur du sinistre</w:t>
      </w:r>
    </w:p>
    <w:p>
      <w:pPr>
        <w:pStyle w:val="FirstParagraph"/>
      </w:pPr>
      <w:r>
        <w:t xml:space="preserve">Exemple de cinématique</w:t>
      </w:r>
      <w:r>
        <w:t xml:space="preserve"> </w:t>
      </w:r>
      <w:r>
        <w:rPr>
          <w:bCs/>
          <w:b/>
        </w:rPr>
        <w:t xml:space="preserve">[À ADAPTER]</w:t>
      </w:r>
      <w:r>
        <w:t xml:space="preserve"> </w:t>
      </w:r>
      <w:r>
        <w:t xml:space="preserve">combinant sauvegardes nocturnes, instantanés et clones. Les horaires sont à fixer selon les fenêtres de</w:t>
      </w:r>
      <w:r>
        <w:t xml:space="preserve"> </w:t>
      </w:r>
      <w:r>
        <w:rPr>
          <w:rStyle w:val="VerbatimChar"/>
          <w:b/>
          <w:color w:val="8A5A00"/>
        </w:rPr>
        <w:t xml:space="preserve">{{ORGANISATION}}</w:t>
      </w:r>
      <w:r>
        <w:t xml:space="preserve">.</w:t>
      </w:r>
    </w:p>
    <w:p>
      <w:pPr>
        <w:pStyle w:val="SourceCode"/>
        <w:keepLines/>
      </w:pPr>
      <w:r>
        <w:rPr>
          <w:rStyle w:val="VerbatimChar"/>
          <w:rFonts w:ascii="DejaVu Sans Mono" w:hAnsi="DejaVu Sans Mono"/>
          <w:color w:val="1F3A5F"/>
          <w:sz w:val="14"/>
        </w:rPr>
        <w:t xml:space="preserve">      Sauvegarde nocturne quotidienne (N versions)</w:t>
      </w:r>
      <w:r>
        <w:rPr>
          <w:rFonts w:ascii="DejaVu Sans Mono" w:hAnsi="DejaVu Sans Mono"/>
          <w:color w:val="1F3A5F"/>
          <w:sz w:val="14"/>
        </w:rPr>
        <w:br/>
      </w:r>
      <w:r>
        <w:rPr>
          <w:rStyle w:val="VerbatimChar"/>
          <w:rFonts w:ascii="DejaVu Sans Mono" w:hAnsi="DejaVu Sans Mono"/>
          <w:color w:val="1F3A5F"/>
          <w:sz w:val="14"/>
        </w:rPr>
        <w:t xml:space="preserve">        │         │         │         │         │         │</w:t>
      </w:r>
      <w:r>
        <w:rPr>
          <w:rFonts w:ascii="DejaVu Sans Mono" w:hAnsi="DejaVu Sans Mono"/>
          <w:color w:val="1F3A5F"/>
          <w:sz w:val="14"/>
        </w:rPr>
        <w:br/>
      </w:r>
      <w:r>
        <w:rPr>
          <w:rStyle w:val="VerbatimChar"/>
          <w:rFonts w:ascii="DejaVu Sans Mono" w:hAnsi="DejaVu Sans Mono"/>
          <w:color w:val="1F3A5F"/>
          <w:sz w:val="14"/>
        </w:rPr>
        <w:t xml:space="preserve">  ──────┼── J-6 ──┼── J-5 ──┼── J-4 ──┼── J-3 ──┼── J-2 ──┼── J-1 ──►</w:t>
      </w:r>
      <w:r>
        <w:rPr>
          <w:rFonts w:ascii="DejaVu Sans Mono" w:hAnsi="DejaVu Sans Mono"/>
          <w:color w:val="1F3A5F"/>
          <w:sz w:val="14"/>
        </w:rPr>
        <w:br/>
      </w:r>
      <w:r>
        <w:rPr>
          <w:rStyle w:val="VerbatimChar"/>
          <w:rFonts w:ascii="DejaVu Sans Mono" w:hAnsi="DejaVu Sans Mono"/>
          <w:color w:val="1F3A5F"/>
          <w:sz w:val="14"/>
        </w:rPr>
        <w:t xml:space="preserve">                                              │    │    │    │    │</w:t>
      </w:r>
      <w:r>
        <w:rPr>
          <w:rFonts w:ascii="DejaVu Sans Mono" w:hAnsi="DejaVu Sans Mono"/>
          <w:color w:val="1F3A5F"/>
          <w:sz w:val="14"/>
        </w:rPr>
        <w:br/>
      </w:r>
      <w:r>
        <w:rPr>
          <w:rStyle w:val="VerbatimChar"/>
          <w:rFonts w:ascii="DejaVu Sans Mono" w:hAnsi="DejaVu Sans Mono"/>
          <w:color w:val="1F3A5F"/>
          <w:sz w:val="14"/>
        </w:rPr>
        <w:t xml:space="preserve">                                           Clone Inst.Clone Inst.Clone</w:t>
      </w:r>
      <w:r>
        <w:rPr>
          <w:rFonts w:ascii="DejaVu Sans Mono" w:hAnsi="DejaVu Sans Mono"/>
          <w:color w:val="1F3A5F"/>
          <w:sz w:val="14"/>
        </w:rPr>
        <w:br/>
      </w:r>
      <w:r>
        <w:rPr>
          <w:rStyle w:val="VerbatimChar"/>
          <w:rFonts w:ascii="DejaVu Sans Mono" w:hAnsi="DejaVu Sans Mono"/>
          <w:color w:val="1F3A5F"/>
          <w:sz w:val="14"/>
        </w:rPr>
        <w:t xml:space="preserve">                                           (fin de journée / mi-journée)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933"/>
        <w:gridCol w:w="2714"/>
        <w:gridCol w:w="2733"/>
        <w:gridCol w:w="1998"/>
        <w:gridCol w:w="1032"/>
      </w:tblGrid>
      <w:tr>
        <w:trPr>
          <w:tblHeader w:val="true"/>
          <w:tblHeader w:val="true"/>
          <w:cantSplit w:val="true"/>
        </w:trPr>
        <w:tc>
          <w:tcPr>
            <w:tcW w:w="933" w:type="dxa"/>
            <w:shd w:val="clear" w:color="auto" w:fill="1F3A5F"/>
          </w:tcPr>
          <w:p>
            <w:pPr>
              <w:pStyle w:val="Compact"/>
              <w:spacing w:after="20" w:before="20"/>
              <w:jc w:val="left"/>
            </w:pPr>
            <w:r>
              <w:rPr>
                <w:b/>
                <w:color w:val="FFFFFF"/>
                <w:sz w:val="18"/>
              </w:rPr>
              <w:t xml:space="preserve">Ampleur</w:t>
            </w:r>
          </w:p>
        </w:tc>
        <w:tc>
          <w:tcPr>
            <w:tcW w:w="2714" w:type="dxa"/>
            <w:shd w:val="clear" w:color="auto" w:fill="1F3A5F"/>
          </w:tcPr>
          <w:p>
            <w:pPr>
              <w:pStyle w:val="Compact"/>
              <w:spacing w:after="20" w:before="20"/>
              <w:jc w:val="left"/>
            </w:pPr>
            <w:r>
              <w:rPr>
                <w:b/>
                <w:color w:val="FFFFFF"/>
                <w:sz w:val="18"/>
              </w:rPr>
              <w:t xml:space="preserve">Situation</w:t>
            </w:r>
          </w:p>
        </w:tc>
        <w:tc>
          <w:tcPr>
            <w:tcW w:w="2733" w:type="dxa"/>
            <w:shd w:val="clear" w:color="auto" w:fill="1F3A5F"/>
          </w:tcPr>
          <w:p>
            <w:pPr>
              <w:pStyle w:val="Compact"/>
              <w:spacing w:after="20" w:before="20"/>
              <w:jc w:val="left"/>
            </w:pPr>
            <w:r>
              <w:rPr>
                <w:b/>
                <w:color w:val="FFFFFF"/>
                <w:sz w:val="18"/>
              </w:rPr>
              <w:t xml:space="preserve">Moyen de restauration</w:t>
            </w:r>
          </w:p>
        </w:tc>
        <w:tc>
          <w:tcPr>
            <w:tcW w:w="1998" w:type="dxa"/>
            <w:shd w:val="clear" w:color="auto" w:fill="1F3A5F"/>
          </w:tcPr>
          <w:p>
            <w:pPr>
              <w:pStyle w:val="Compact"/>
              <w:spacing w:after="20" w:before="20"/>
              <w:jc w:val="left"/>
            </w:pPr>
            <w:r>
              <w:rPr>
                <w:b/>
                <w:color w:val="FFFFFF"/>
                <w:sz w:val="18"/>
              </w:rPr>
              <w:t xml:space="preserve">PDMA</w:t>
            </w:r>
          </w:p>
        </w:tc>
        <w:tc>
          <w:tcPr>
            <w:tcW w:w="1032" w:type="dxa"/>
            <w:shd w:val="clear" w:color="auto" w:fill="1F3A5F"/>
          </w:tcPr>
          <w:p>
            <w:pPr>
              <w:pStyle w:val="Compact"/>
              <w:spacing w:after="20" w:before="20"/>
              <w:jc w:val="left"/>
            </w:pPr>
            <w:r>
              <w:rPr>
                <w:b/>
                <w:color w:val="FFFFFF"/>
                <w:sz w:val="18"/>
              </w:rPr>
              <w:t xml:space="preserve">DMIA</w:t>
            </w:r>
          </w:p>
        </w:tc>
      </w:tr>
      <w:tr>
        <w:trPr>
          <w:cantSplit w:val="true"/>
        </w:trPr>
        <w:tc>
          <w:tcPr>
            <w:tcW w:w="933" w:type="dxa"/>
          </w:tcPr>
          <w:p>
            <w:pPr>
              <w:pStyle w:val="Compact"/>
              <w:spacing w:after="20" w:before="20"/>
              <w:jc w:val="left"/>
            </w:pPr>
            <w:r>
              <w:rPr>
                <w:bCs/>
                <w:b/>
                <w:sz w:val="18"/>
              </w:rPr>
              <w:t xml:space="preserve">Locale</w:t>
            </w:r>
          </w:p>
        </w:tc>
        <w:tc>
          <w:tcPr>
            <w:tcW w:w="2714" w:type="dxa"/>
          </w:tcPr>
          <w:p>
            <w:pPr>
              <w:pStyle w:val="Compact"/>
              <w:spacing w:after="20" w:before="20"/>
              <w:jc w:val="left"/>
            </w:pPr>
            <w:r>
              <w:rPr>
                <w:sz w:val="18"/>
              </w:rPr>
              <w:t xml:space="preserve">Destruction ou corruption limitée à un serveur ou une base de données</w:t>
            </w:r>
          </w:p>
        </w:tc>
        <w:tc>
          <w:tcPr>
            <w:tcW w:w="2733" w:type="dxa"/>
          </w:tcPr>
          <w:p>
            <w:pPr>
              <w:pStyle w:val="Compact"/>
              <w:spacing w:after="20" w:before="20"/>
              <w:jc w:val="left"/>
            </w:pPr>
            <w:r>
              <w:rPr>
                <w:sz w:val="18"/>
              </w:rPr>
              <w:t xml:space="preserve">Sauvegardes nocturnes : choix du point de restauration parmi les versions disponibles</w:t>
            </w:r>
          </w:p>
        </w:tc>
        <w:tc>
          <w:tcPr>
            <w:tcW w:w="1998" w:type="dxa"/>
          </w:tcPr>
          <w:p>
            <w:pPr>
              <w:pStyle w:val="Compact"/>
              <w:spacing w:after="20" w:before="20"/>
              <w:jc w:val="left"/>
            </w:pPr>
            <w:r>
              <w:rPr>
                <w:sz w:val="18"/>
              </w:rPr>
              <w:t xml:space="preserve">1 à 35 jours selon la date de l'altération</w:t>
            </w:r>
          </w:p>
        </w:tc>
        <w:tc>
          <w:tcPr>
            <w:tcW w:w="1032" w:type="dxa"/>
          </w:tcPr>
          <w:p>
            <w:pPr>
              <w:pStyle w:val="Compact"/>
              <w:spacing w:after="20" w:before="20"/>
              <w:jc w:val="left"/>
            </w:pPr>
            <w:r>
              <w:rPr>
                <w:sz w:val="18"/>
              </w:rPr>
              <w:t xml:space="preserve">≤ 12 h</w:t>
            </w:r>
          </w:p>
        </w:tc>
      </w:tr>
      <w:tr>
        <w:trPr>
          <w:cantSplit w:val="true"/>
        </w:trPr>
        <w:tc>
          <w:tcPr>
            <w:tcW w:w="933" w:type="dxa"/>
            <w:shd w:val="clear" w:color="auto" w:fill="EEF2F6"/>
          </w:tcPr>
          <w:p>
            <w:pPr>
              <w:pStyle w:val="Compact"/>
              <w:spacing w:after="20" w:before="20"/>
              <w:jc w:val="left"/>
            </w:pPr>
            <w:r>
              <w:rPr>
                <w:bCs/>
                <w:b/>
                <w:sz w:val="18"/>
              </w:rPr>
              <w:t xml:space="preserve">Massive</w:t>
            </w:r>
          </w:p>
        </w:tc>
        <w:tc>
          <w:tcPr>
            <w:tcW w:w="2714" w:type="dxa"/>
            <w:shd w:val="clear" w:color="auto" w:fill="EEF2F6"/>
          </w:tcPr>
          <w:p>
            <w:pPr>
              <w:pStyle w:val="Compact"/>
              <w:spacing w:after="20" w:before="20"/>
              <w:jc w:val="left"/>
            </w:pPr>
            <w:r>
              <w:rPr>
                <w:sz w:val="18"/>
              </w:rPr>
              <w:t xml:space="preserve">Destruction ou corruption à grande échelle</w:t>
            </w:r>
          </w:p>
        </w:tc>
        <w:tc>
          <w:tcPr>
            <w:tcW w:w="2733" w:type="dxa"/>
            <w:shd w:val="clear" w:color="auto" w:fill="EEF2F6"/>
          </w:tcPr>
          <w:p>
            <w:pPr>
              <w:pStyle w:val="Compact"/>
              <w:spacing w:after="20" w:before="20"/>
              <w:jc w:val="left"/>
            </w:pPr>
            <w:r>
              <w:rPr>
                <w:sz w:val="18"/>
              </w:rPr>
              <w:t xml:space="preserve">Instantané (12 h) ou clone (00 h) le plus récent antérieur à l'incident</w:t>
            </w:r>
          </w:p>
        </w:tc>
        <w:tc>
          <w:tcPr>
            <w:tcW w:w="1998" w:type="dxa"/>
            <w:shd w:val="clear" w:color="auto" w:fill="EEF2F6"/>
          </w:tcPr>
          <w:p>
            <w:pPr>
              <w:pStyle w:val="Compact"/>
              <w:spacing w:after="20" w:before="20"/>
              <w:jc w:val="left"/>
            </w:pPr>
            <w:r>
              <w:rPr>
                <w:sz w:val="18"/>
              </w:rPr>
              <w:t xml:space="preserve">12 h (instantané) ou 24 h (clone)</w:t>
            </w:r>
          </w:p>
        </w:tc>
        <w:tc>
          <w:tcPr>
            <w:tcW w:w="1032" w:type="dxa"/>
            <w:shd w:val="clear" w:color="auto" w:fill="EEF2F6"/>
          </w:tcPr>
          <w:p>
            <w:pPr>
              <w:pStyle w:val="Compact"/>
              <w:spacing w:after="20" w:before="20"/>
              <w:jc w:val="left"/>
            </w:pPr>
            <w:r>
              <w:rPr>
                <w:sz w:val="18"/>
              </w:rPr>
              <w:t xml:space="preserve">Quelques heures</w:t>
            </w:r>
          </w:p>
        </w:tc>
      </w:tr>
    </w:tbl>
    <w:p>
      <w:pPr>
        <w:pStyle w:val="BodyText"/>
      </w:pPr>
      <w:r>
        <w:t xml:space="preserve">⚠ Les instantanés et clones résidant sur la même baie ou dans le même domaine d'administration que les données primaires ne protègent pas d'une compromission de ce domaine. En ILG, ils ne sont utilisables qu'après vérification de leur intégrité (§9.4.3).</w:t>
      </w:r>
    </w:p>
    <w:bookmarkEnd w:id="122"/>
    <w:bookmarkStart w:id="123" w:name="annexe-b-affectation-des-rôles"/>
    <w:p>
      <w:pPr>
        <w:pStyle w:val="Heading2"/>
      </w:pPr>
      <w:r>
        <w:t xml:space="preserve">Annexe B — Affectation des rôles</w:t>
      </w:r>
    </w:p>
    <w:p>
      <w:pPr>
        <w:pStyle w:val="FirstParagraph"/>
      </w:pPr>
      <w:r>
        <w:rPr>
          <w:bCs/>
          <w:b/>
        </w:rPr>
        <w:t xml:space="preserve">[À COMPLÉTER]</w:t>
      </w:r>
      <w:r>
        <w:t xml:space="preserve"> </w:t>
      </w:r>
      <w:r>
        <w:t xml:space="preserve">— Renseigner les fonctions plutôt que les noms lorsque le document est largement diffusé ; tenir la liste nominative dans un registre séparé, mis à jour à chaque mouvement.</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829"/>
        <w:gridCol w:w="1032"/>
        <w:gridCol w:w="2288"/>
        <w:gridCol w:w="1131"/>
        <w:gridCol w:w="1131"/>
      </w:tblGrid>
      <w:tr>
        <w:trPr>
          <w:tblHeader w:val="true"/>
          <w:tblHeader w:val="true"/>
          <w:cantSplit w:val="true"/>
        </w:trPr>
        <w:tc>
          <w:tcPr>
            <w:tcW w:w="3829" w:type="dxa"/>
            <w:shd w:val="clear" w:color="auto" w:fill="1F3A5F"/>
          </w:tcPr>
          <w:p>
            <w:pPr>
              <w:pStyle w:val="Compact"/>
              <w:spacing w:after="20" w:before="20"/>
              <w:jc w:val="left"/>
            </w:pPr>
            <w:r>
              <w:rPr>
                <w:b/>
                <w:color w:val="FFFFFF"/>
                <w:sz w:val="18"/>
              </w:rPr>
              <w:t xml:space="preserve">Rôle</w:t>
            </w:r>
          </w:p>
        </w:tc>
        <w:tc>
          <w:tcPr>
            <w:tcW w:w="1032" w:type="dxa"/>
            <w:shd w:val="clear" w:color="auto" w:fill="1F3A5F"/>
          </w:tcPr>
          <w:p>
            <w:pPr>
              <w:pStyle w:val="Compact"/>
              <w:spacing w:after="20" w:before="20"/>
              <w:jc w:val="left"/>
            </w:pPr>
            <w:r>
              <w:rPr>
                <w:b/>
                <w:color w:val="FFFFFF"/>
                <w:sz w:val="18"/>
              </w:rPr>
              <w:t xml:space="preserve">Acronyme</w:t>
            </w:r>
          </w:p>
        </w:tc>
        <w:tc>
          <w:tcPr>
            <w:tcW w:w="2288" w:type="dxa"/>
            <w:shd w:val="clear" w:color="auto" w:fill="1F3A5F"/>
          </w:tcPr>
          <w:p>
            <w:pPr>
              <w:pStyle w:val="Compact"/>
              <w:spacing w:after="20" w:before="20"/>
              <w:jc w:val="left"/>
            </w:pPr>
            <w:r>
              <w:rPr>
                <w:b/>
                <w:color w:val="FFFFFF"/>
                <w:sz w:val="18"/>
              </w:rPr>
              <w:t xml:space="preserve">Fonction dans l'organisation</w:t>
            </w:r>
          </w:p>
        </w:tc>
        <w:tc>
          <w:tcPr>
            <w:tcW w:w="1131" w:type="dxa"/>
            <w:shd w:val="clear" w:color="auto" w:fill="1F3A5F"/>
          </w:tcPr>
          <w:p>
            <w:pPr>
              <w:pStyle w:val="Compact"/>
              <w:spacing w:after="20" w:before="20"/>
              <w:jc w:val="left"/>
            </w:pPr>
            <w:r>
              <w:rPr>
                <w:b/>
                <w:color w:val="FFFFFF"/>
                <w:sz w:val="18"/>
              </w:rPr>
              <w:t xml:space="preserve">Titulaire</w:t>
            </w:r>
          </w:p>
        </w:tc>
        <w:tc>
          <w:tcPr>
            <w:tcW w:w="1131" w:type="dxa"/>
            <w:shd w:val="clear" w:color="auto" w:fill="1F3A5F"/>
          </w:tcPr>
          <w:p>
            <w:pPr>
              <w:pStyle w:val="Compact"/>
              <w:spacing w:after="20" w:before="20"/>
              <w:jc w:val="left"/>
            </w:pPr>
            <w:r>
              <w:rPr>
                <w:b/>
                <w:color w:val="FFFFFF"/>
                <w:sz w:val="18"/>
              </w:rPr>
              <w:t xml:space="preserve">Suppléant</w:t>
            </w:r>
          </w:p>
        </w:tc>
      </w:tr>
      <w:tr>
        <w:trPr>
          <w:cantSplit w:val="true"/>
        </w:trPr>
        <w:tc>
          <w:tcPr>
            <w:tcW w:w="3829" w:type="dxa"/>
          </w:tcPr>
          <w:p>
            <w:pPr>
              <w:pStyle w:val="Compact"/>
              <w:spacing w:after="20" w:before="20"/>
              <w:jc w:val="left"/>
            </w:pPr>
            <w:r>
              <w:rPr>
                <w:sz w:val="18"/>
              </w:rPr>
              <w:t xml:space="preserve">Propriétaires métier (un par activité prioritaire)</w:t>
            </w:r>
          </w:p>
        </w:tc>
        <w:tc>
          <w:tcPr>
            <w:tcW w:w="1032" w:type="dxa"/>
          </w:tcPr>
          <w:p>
            <w:pPr>
              <w:pStyle w:val="Compact"/>
              <w:spacing w:after="20" w:before="20"/>
              <w:jc w:val="left"/>
            </w:pPr>
            <w:r>
              <w:rPr>
                <w:sz w:val="18"/>
              </w:rPr>
              <w:t xml:space="preserve">MÉT</w:t>
            </w:r>
          </w:p>
        </w:tc>
        <w:tc>
          <w:tcPr>
            <w:tcW w:w="2288" w:type="dxa"/>
          </w:tcPr>
          <w:p>
            <w:pPr>
              <w:pStyle w:val="Compact"/>
              <w:spacing w:after="20" w:before="20"/>
            </w:pPr>
          </w:p>
        </w:tc>
        <w:tc>
          <w:tcPr>
            <w:tcW w:w="1131" w:type="dxa"/>
          </w:tcPr>
          <w:p>
            <w:pPr>
              <w:pStyle w:val="Compact"/>
              <w:spacing w:after="20" w:before="20"/>
            </w:pPr>
          </w:p>
        </w:tc>
        <w:tc>
          <w:tcPr>
            <w:tcW w:w="1131" w:type="dxa"/>
          </w:tcPr>
          <w:p>
            <w:pPr>
              <w:pStyle w:val="Compact"/>
              <w:spacing w:after="20" w:before="20"/>
            </w:pPr>
          </w:p>
        </w:tc>
      </w:tr>
      <w:tr>
        <w:trPr>
          <w:cantSplit w:val="true"/>
        </w:trPr>
        <w:tc>
          <w:tcPr>
            <w:tcW w:w="3829" w:type="dxa"/>
            <w:shd w:val="clear" w:color="auto" w:fill="EEF2F6"/>
          </w:tcPr>
          <w:p>
            <w:pPr>
              <w:pStyle w:val="Compact"/>
              <w:spacing w:after="20" w:before="20"/>
              <w:jc w:val="left"/>
            </w:pPr>
            <w:r>
              <w:rPr>
                <w:sz w:val="18"/>
              </w:rPr>
              <w:t xml:space="preserve">Directeur des Systèmes d'Information</w:t>
            </w:r>
          </w:p>
        </w:tc>
        <w:tc>
          <w:tcPr>
            <w:tcW w:w="1032" w:type="dxa"/>
            <w:shd w:val="clear" w:color="auto" w:fill="EEF2F6"/>
          </w:tcPr>
          <w:p>
            <w:pPr>
              <w:pStyle w:val="Compact"/>
              <w:spacing w:after="20" w:before="20"/>
              <w:jc w:val="left"/>
            </w:pPr>
            <w:r>
              <w:rPr>
                <w:sz w:val="18"/>
              </w:rPr>
              <w:t xml:space="preserve">DSI</w:t>
            </w:r>
          </w:p>
        </w:tc>
        <w:tc>
          <w:tcPr>
            <w:tcW w:w="2288" w:type="dxa"/>
            <w:shd w:val="clear" w:color="auto" w:fill="EEF2F6"/>
          </w:tcPr>
          <w:p>
            <w:pPr>
              <w:pStyle w:val="Compact"/>
              <w:spacing w:after="20" w:before="20"/>
            </w:pPr>
          </w:p>
        </w:tc>
        <w:tc>
          <w:tcPr>
            <w:tcW w:w="1131" w:type="dxa"/>
            <w:shd w:val="clear" w:color="auto" w:fill="EEF2F6"/>
          </w:tcPr>
          <w:p>
            <w:pPr>
              <w:pStyle w:val="Compact"/>
              <w:spacing w:after="20" w:before="20"/>
            </w:pPr>
          </w:p>
        </w:tc>
        <w:tc>
          <w:tcPr>
            <w:tcW w:w="1131" w:type="dxa"/>
            <w:shd w:val="clear" w:color="auto" w:fill="EEF2F6"/>
          </w:tcPr>
          <w:p>
            <w:pPr>
              <w:pStyle w:val="Compact"/>
              <w:spacing w:after="20" w:before="20"/>
            </w:pPr>
          </w:p>
        </w:tc>
      </w:tr>
      <w:tr>
        <w:trPr>
          <w:cantSplit w:val="true"/>
        </w:trPr>
        <w:tc>
          <w:tcPr>
            <w:tcW w:w="3829" w:type="dxa"/>
          </w:tcPr>
          <w:p>
            <w:pPr>
              <w:pStyle w:val="Compact"/>
              <w:spacing w:after="20" w:before="20"/>
              <w:jc w:val="left"/>
            </w:pPr>
            <w:r>
              <w:rPr>
                <w:sz w:val="18"/>
              </w:rPr>
              <w:t xml:space="preserve">Responsable de la Sécurité des SI</w:t>
            </w:r>
          </w:p>
        </w:tc>
        <w:tc>
          <w:tcPr>
            <w:tcW w:w="1032" w:type="dxa"/>
          </w:tcPr>
          <w:p>
            <w:pPr>
              <w:pStyle w:val="Compact"/>
              <w:spacing w:after="20" w:before="20"/>
              <w:jc w:val="left"/>
            </w:pPr>
            <w:r>
              <w:rPr>
                <w:sz w:val="18"/>
              </w:rPr>
              <w:t xml:space="preserve">RSSI</w:t>
            </w:r>
          </w:p>
        </w:tc>
        <w:tc>
          <w:tcPr>
            <w:tcW w:w="2288" w:type="dxa"/>
          </w:tcPr>
          <w:p>
            <w:pPr>
              <w:pStyle w:val="Compact"/>
              <w:spacing w:after="20" w:before="20"/>
            </w:pPr>
          </w:p>
        </w:tc>
        <w:tc>
          <w:tcPr>
            <w:tcW w:w="1131" w:type="dxa"/>
          </w:tcPr>
          <w:p>
            <w:pPr>
              <w:pStyle w:val="Compact"/>
              <w:spacing w:after="20" w:before="20"/>
            </w:pPr>
          </w:p>
        </w:tc>
        <w:tc>
          <w:tcPr>
            <w:tcW w:w="1131" w:type="dxa"/>
          </w:tcPr>
          <w:p>
            <w:pPr>
              <w:pStyle w:val="Compact"/>
              <w:spacing w:after="20" w:before="20"/>
            </w:pPr>
          </w:p>
        </w:tc>
      </w:tr>
      <w:tr>
        <w:trPr>
          <w:cantSplit w:val="true"/>
        </w:trPr>
        <w:tc>
          <w:tcPr>
            <w:tcW w:w="3829" w:type="dxa"/>
            <w:shd w:val="clear" w:color="auto" w:fill="EEF2F6"/>
          </w:tcPr>
          <w:p>
            <w:pPr>
              <w:pStyle w:val="Compact"/>
              <w:spacing w:after="20" w:before="20"/>
              <w:jc w:val="left"/>
            </w:pPr>
            <w:r>
              <w:rPr>
                <w:sz w:val="18"/>
              </w:rPr>
              <w:t xml:space="preserve">Directeur des Infrastructures et des Opérations</w:t>
            </w:r>
          </w:p>
        </w:tc>
        <w:tc>
          <w:tcPr>
            <w:tcW w:w="1032" w:type="dxa"/>
            <w:shd w:val="clear" w:color="auto" w:fill="EEF2F6"/>
          </w:tcPr>
          <w:p>
            <w:pPr>
              <w:pStyle w:val="Compact"/>
              <w:spacing w:after="20" w:before="20"/>
              <w:jc w:val="left"/>
            </w:pPr>
            <w:r>
              <w:rPr>
                <w:sz w:val="18"/>
              </w:rPr>
              <w:t xml:space="preserve">DIO</w:t>
            </w:r>
          </w:p>
        </w:tc>
        <w:tc>
          <w:tcPr>
            <w:tcW w:w="2288" w:type="dxa"/>
            <w:shd w:val="clear" w:color="auto" w:fill="EEF2F6"/>
          </w:tcPr>
          <w:p>
            <w:pPr>
              <w:pStyle w:val="Compact"/>
              <w:spacing w:after="20" w:before="20"/>
            </w:pPr>
          </w:p>
        </w:tc>
        <w:tc>
          <w:tcPr>
            <w:tcW w:w="1131" w:type="dxa"/>
            <w:shd w:val="clear" w:color="auto" w:fill="EEF2F6"/>
          </w:tcPr>
          <w:p>
            <w:pPr>
              <w:pStyle w:val="Compact"/>
              <w:spacing w:after="20" w:before="20"/>
            </w:pPr>
          </w:p>
        </w:tc>
        <w:tc>
          <w:tcPr>
            <w:tcW w:w="1131" w:type="dxa"/>
            <w:shd w:val="clear" w:color="auto" w:fill="EEF2F6"/>
          </w:tcPr>
          <w:p>
            <w:pPr>
              <w:pStyle w:val="Compact"/>
              <w:spacing w:after="20" w:before="20"/>
            </w:pPr>
          </w:p>
        </w:tc>
      </w:tr>
      <w:tr>
        <w:trPr>
          <w:cantSplit w:val="true"/>
        </w:trPr>
        <w:tc>
          <w:tcPr>
            <w:tcW w:w="3829" w:type="dxa"/>
          </w:tcPr>
          <w:p>
            <w:pPr>
              <w:pStyle w:val="Compact"/>
              <w:spacing w:after="20" w:before="20"/>
              <w:jc w:val="left"/>
            </w:pPr>
            <w:r>
              <w:rPr>
                <w:sz w:val="18"/>
              </w:rPr>
              <w:t xml:space="preserve">Responsable du Plan de Continuité Informatique</w:t>
            </w:r>
          </w:p>
        </w:tc>
        <w:tc>
          <w:tcPr>
            <w:tcW w:w="1032" w:type="dxa"/>
          </w:tcPr>
          <w:p>
            <w:pPr>
              <w:pStyle w:val="Compact"/>
              <w:spacing w:after="20" w:before="20"/>
              <w:jc w:val="left"/>
            </w:pPr>
            <w:r>
              <w:rPr>
                <w:sz w:val="18"/>
              </w:rPr>
              <w:t xml:space="preserve">RPCI</w:t>
            </w:r>
          </w:p>
        </w:tc>
        <w:tc>
          <w:tcPr>
            <w:tcW w:w="2288" w:type="dxa"/>
          </w:tcPr>
          <w:p>
            <w:pPr>
              <w:pStyle w:val="Compact"/>
              <w:spacing w:after="20" w:before="20"/>
            </w:pPr>
          </w:p>
        </w:tc>
        <w:tc>
          <w:tcPr>
            <w:tcW w:w="1131" w:type="dxa"/>
          </w:tcPr>
          <w:p>
            <w:pPr>
              <w:pStyle w:val="Compact"/>
              <w:spacing w:after="20" w:before="20"/>
            </w:pPr>
          </w:p>
        </w:tc>
        <w:tc>
          <w:tcPr>
            <w:tcW w:w="1131" w:type="dxa"/>
          </w:tcPr>
          <w:p>
            <w:pPr>
              <w:pStyle w:val="Compact"/>
              <w:spacing w:after="20" w:before="20"/>
            </w:pPr>
          </w:p>
        </w:tc>
      </w:tr>
      <w:tr>
        <w:trPr>
          <w:cantSplit w:val="true"/>
        </w:trPr>
        <w:tc>
          <w:tcPr>
            <w:tcW w:w="3829" w:type="dxa"/>
            <w:shd w:val="clear" w:color="auto" w:fill="EEF2F6"/>
          </w:tcPr>
          <w:p>
            <w:pPr>
              <w:pStyle w:val="Compact"/>
              <w:spacing w:after="20" w:before="20"/>
              <w:jc w:val="left"/>
            </w:pPr>
            <w:r>
              <w:rPr>
                <w:sz w:val="18"/>
              </w:rPr>
              <w:t xml:space="preserve">Responsable de Production</w:t>
            </w:r>
          </w:p>
        </w:tc>
        <w:tc>
          <w:tcPr>
            <w:tcW w:w="1032" w:type="dxa"/>
            <w:shd w:val="clear" w:color="auto" w:fill="EEF2F6"/>
          </w:tcPr>
          <w:p>
            <w:pPr>
              <w:pStyle w:val="Compact"/>
              <w:spacing w:after="20" w:before="20"/>
              <w:jc w:val="left"/>
            </w:pPr>
            <w:r>
              <w:rPr>
                <w:sz w:val="18"/>
              </w:rPr>
              <w:t xml:space="preserve">RPROD</w:t>
            </w:r>
          </w:p>
        </w:tc>
        <w:tc>
          <w:tcPr>
            <w:tcW w:w="2288" w:type="dxa"/>
            <w:shd w:val="clear" w:color="auto" w:fill="EEF2F6"/>
          </w:tcPr>
          <w:p>
            <w:pPr>
              <w:pStyle w:val="Compact"/>
              <w:spacing w:after="20" w:before="20"/>
            </w:pPr>
          </w:p>
        </w:tc>
        <w:tc>
          <w:tcPr>
            <w:tcW w:w="1131" w:type="dxa"/>
            <w:shd w:val="clear" w:color="auto" w:fill="EEF2F6"/>
          </w:tcPr>
          <w:p>
            <w:pPr>
              <w:pStyle w:val="Compact"/>
              <w:spacing w:after="20" w:before="20"/>
            </w:pPr>
          </w:p>
        </w:tc>
        <w:tc>
          <w:tcPr>
            <w:tcW w:w="1131" w:type="dxa"/>
            <w:shd w:val="clear" w:color="auto" w:fill="EEF2F6"/>
          </w:tcPr>
          <w:p>
            <w:pPr>
              <w:pStyle w:val="Compact"/>
              <w:spacing w:after="20" w:before="20"/>
            </w:pPr>
          </w:p>
        </w:tc>
      </w:tr>
      <w:tr>
        <w:trPr>
          <w:cantSplit w:val="true"/>
        </w:trPr>
        <w:tc>
          <w:tcPr>
            <w:tcW w:w="3829" w:type="dxa"/>
          </w:tcPr>
          <w:p>
            <w:pPr>
              <w:pStyle w:val="Compact"/>
              <w:spacing w:after="20" w:before="20"/>
              <w:jc w:val="left"/>
            </w:pPr>
            <w:r>
              <w:rPr>
                <w:sz w:val="18"/>
              </w:rPr>
              <w:t xml:space="preserve">Responsable du Plan de Continuité d'Activité</w:t>
            </w:r>
          </w:p>
        </w:tc>
        <w:tc>
          <w:tcPr>
            <w:tcW w:w="1032" w:type="dxa"/>
          </w:tcPr>
          <w:p>
            <w:pPr>
              <w:pStyle w:val="Compact"/>
              <w:spacing w:after="20" w:before="20"/>
              <w:jc w:val="left"/>
            </w:pPr>
            <w:r>
              <w:rPr>
                <w:sz w:val="18"/>
              </w:rPr>
              <w:t xml:space="preserve">RPCA</w:t>
            </w:r>
          </w:p>
        </w:tc>
        <w:tc>
          <w:tcPr>
            <w:tcW w:w="2288" w:type="dxa"/>
          </w:tcPr>
          <w:p>
            <w:pPr>
              <w:pStyle w:val="Compact"/>
              <w:spacing w:after="20" w:before="20"/>
            </w:pPr>
          </w:p>
        </w:tc>
        <w:tc>
          <w:tcPr>
            <w:tcW w:w="1131" w:type="dxa"/>
          </w:tcPr>
          <w:p>
            <w:pPr>
              <w:pStyle w:val="Compact"/>
              <w:spacing w:after="20" w:before="20"/>
            </w:pPr>
          </w:p>
        </w:tc>
        <w:tc>
          <w:tcPr>
            <w:tcW w:w="1131" w:type="dxa"/>
          </w:tcPr>
          <w:p>
            <w:pPr>
              <w:pStyle w:val="Compact"/>
              <w:spacing w:after="20" w:before="20"/>
            </w:pPr>
          </w:p>
        </w:tc>
      </w:tr>
      <w:tr>
        <w:trPr>
          <w:cantSplit w:val="true"/>
        </w:trPr>
        <w:tc>
          <w:tcPr>
            <w:tcW w:w="3829" w:type="dxa"/>
            <w:shd w:val="clear" w:color="auto" w:fill="EEF2F6"/>
          </w:tcPr>
          <w:p>
            <w:pPr>
              <w:pStyle w:val="Compact"/>
              <w:spacing w:after="20" w:before="20"/>
              <w:jc w:val="left"/>
            </w:pPr>
            <w:r>
              <w:rPr>
                <w:sz w:val="18"/>
              </w:rPr>
              <w:t xml:space="preserve">Directeur de l'Architecture</w:t>
            </w:r>
          </w:p>
        </w:tc>
        <w:tc>
          <w:tcPr>
            <w:tcW w:w="1032" w:type="dxa"/>
            <w:shd w:val="clear" w:color="auto" w:fill="EEF2F6"/>
          </w:tcPr>
          <w:p>
            <w:pPr>
              <w:pStyle w:val="Compact"/>
              <w:spacing w:after="20" w:before="20"/>
              <w:jc w:val="left"/>
            </w:pPr>
            <w:r>
              <w:rPr>
                <w:sz w:val="18"/>
              </w:rPr>
              <w:t xml:space="preserve">DARCH</w:t>
            </w:r>
          </w:p>
        </w:tc>
        <w:tc>
          <w:tcPr>
            <w:tcW w:w="2288" w:type="dxa"/>
            <w:shd w:val="clear" w:color="auto" w:fill="EEF2F6"/>
          </w:tcPr>
          <w:p>
            <w:pPr>
              <w:pStyle w:val="Compact"/>
              <w:spacing w:after="20" w:before="20"/>
            </w:pPr>
          </w:p>
        </w:tc>
        <w:tc>
          <w:tcPr>
            <w:tcW w:w="1131" w:type="dxa"/>
            <w:shd w:val="clear" w:color="auto" w:fill="EEF2F6"/>
          </w:tcPr>
          <w:p>
            <w:pPr>
              <w:pStyle w:val="Compact"/>
              <w:spacing w:after="20" w:before="20"/>
            </w:pPr>
          </w:p>
        </w:tc>
        <w:tc>
          <w:tcPr>
            <w:tcW w:w="1131" w:type="dxa"/>
            <w:shd w:val="clear" w:color="auto" w:fill="EEF2F6"/>
          </w:tcPr>
          <w:p>
            <w:pPr>
              <w:pStyle w:val="Compact"/>
              <w:spacing w:after="20" w:before="20"/>
            </w:pPr>
          </w:p>
        </w:tc>
      </w:tr>
      <w:tr>
        <w:trPr>
          <w:cantSplit w:val="true"/>
        </w:trPr>
        <w:tc>
          <w:tcPr>
            <w:tcW w:w="3829" w:type="dxa"/>
          </w:tcPr>
          <w:p>
            <w:pPr>
              <w:pStyle w:val="Compact"/>
              <w:spacing w:after="20" w:before="20"/>
              <w:jc w:val="left"/>
            </w:pPr>
            <w:r>
              <w:rPr>
                <w:sz w:val="18"/>
              </w:rPr>
              <w:t xml:space="preserve">Administrateur des moyens de production</w:t>
            </w:r>
          </w:p>
        </w:tc>
        <w:tc>
          <w:tcPr>
            <w:tcW w:w="1032" w:type="dxa"/>
          </w:tcPr>
          <w:p>
            <w:pPr>
              <w:pStyle w:val="Compact"/>
              <w:spacing w:after="20" w:before="20"/>
              <w:jc w:val="left"/>
            </w:pPr>
            <w:r>
              <w:rPr>
                <w:sz w:val="18"/>
              </w:rPr>
              <w:t xml:space="preserve">AdMP</w:t>
            </w:r>
          </w:p>
        </w:tc>
        <w:tc>
          <w:tcPr>
            <w:tcW w:w="2288" w:type="dxa"/>
          </w:tcPr>
          <w:p>
            <w:pPr>
              <w:pStyle w:val="Compact"/>
              <w:spacing w:after="20" w:before="20"/>
            </w:pPr>
          </w:p>
        </w:tc>
        <w:tc>
          <w:tcPr>
            <w:tcW w:w="1131" w:type="dxa"/>
          </w:tcPr>
          <w:p>
            <w:pPr>
              <w:pStyle w:val="Compact"/>
              <w:spacing w:after="20" w:before="20"/>
            </w:pPr>
          </w:p>
        </w:tc>
        <w:tc>
          <w:tcPr>
            <w:tcW w:w="1131" w:type="dxa"/>
          </w:tcPr>
          <w:p>
            <w:pPr>
              <w:pStyle w:val="Compact"/>
              <w:spacing w:after="20" w:before="20"/>
            </w:pPr>
          </w:p>
        </w:tc>
      </w:tr>
      <w:tr>
        <w:trPr>
          <w:cantSplit w:val="true"/>
        </w:trPr>
        <w:tc>
          <w:tcPr>
            <w:tcW w:w="3829" w:type="dxa"/>
            <w:shd w:val="clear" w:color="auto" w:fill="EEF2F6"/>
          </w:tcPr>
          <w:p>
            <w:pPr>
              <w:pStyle w:val="Compact"/>
              <w:spacing w:after="20" w:before="20"/>
              <w:jc w:val="left"/>
            </w:pPr>
            <w:r>
              <w:rPr>
                <w:sz w:val="18"/>
              </w:rPr>
              <w:t xml:space="preserve">Administrateur de sauvegardes</w:t>
            </w:r>
          </w:p>
        </w:tc>
        <w:tc>
          <w:tcPr>
            <w:tcW w:w="1032" w:type="dxa"/>
            <w:shd w:val="clear" w:color="auto" w:fill="EEF2F6"/>
          </w:tcPr>
          <w:p>
            <w:pPr>
              <w:pStyle w:val="Compact"/>
              <w:spacing w:after="20" w:before="20"/>
              <w:jc w:val="left"/>
            </w:pPr>
            <w:r>
              <w:rPr>
                <w:sz w:val="18"/>
              </w:rPr>
              <w:t xml:space="preserve">AdSv</w:t>
            </w:r>
          </w:p>
        </w:tc>
        <w:tc>
          <w:tcPr>
            <w:tcW w:w="2288" w:type="dxa"/>
            <w:shd w:val="clear" w:color="auto" w:fill="EEF2F6"/>
          </w:tcPr>
          <w:p>
            <w:pPr>
              <w:pStyle w:val="Compact"/>
              <w:spacing w:after="20" w:before="20"/>
            </w:pPr>
          </w:p>
        </w:tc>
        <w:tc>
          <w:tcPr>
            <w:tcW w:w="1131" w:type="dxa"/>
            <w:shd w:val="clear" w:color="auto" w:fill="EEF2F6"/>
          </w:tcPr>
          <w:p>
            <w:pPr>
              <w:pStyle w:val="Compact"/>
              <w:spacing w:after="20" w:before="20"/>
            </w:pPr>
          </w:p>
        </w:tc>
        <w:tc>
          <w:tcPr>
            <w:tcW w:w="1131" w:type="dxa"/>
            <w:shd w:val="clear" w:color="auto" w:fill="EEF2F6"/>
          </w:tcPr>
          <w:p>
            <w:pPr>
              <w:pStyle w:val="Compact"/>
              <w:spacing w:after="20" w:before="20"/>
            </w:pPr>
          </w:p>
        </w:tc>
      </w:tr>
    </w:tbl>
    <w:bookmarkEnd w:id="123"/>
    <w:bookmarkStart w:id="124" w:name="annexe-c-types-de-sauvegarde"/>
    <w:p>
      <w:pPr>
        <w:pStyle w:val="Heading2"/>
      </w:pPr>
      <w:r>
        <w:t xml:space="preserve">Annexe C — Types de sauvegarde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0" w:type="dxa"/>
        <w:tblLayout w:type="fixed"/>
      </w:tblPr>
      <w:tblGrid>
        <w:gridCol w:w="1626"/>
        <w:gridCol w:w="1891"/>
        <w:gridCol w:w="1954"/>
        <w:gridCol w:w="1985"/>
        <w:gridCol w:w="1954"/>
      </w:tblGrid>
      <w:tr>
        <w:trPr>
          <w:tblHeader w:val="true"/>
          <w:tblHeader w:val="true"/>
          <w:cantSplit w:val="true"/>
        </w:trPr>
        <w:tc>
          <w:tcPr>
            <w:tcW w:w="1626" w:type="dxa"/>
            <w:shd w:val="clear" w:color="auto" w:fill="1F3A5F"/>
          </w:tcPr>
          <w:p>
            <w:pPr>
              <w:pStyle w:val="Compact"/>
              <w:spacing w:after="20" w:before="20"/>
              <w:jc w:val="left"/>
            </w:pPr>
            <w:r>
              <w:rPr>
                <w:b/>
                <w:color w:val="FFFFFF"/>
                <w:sz w:val="18"/>
              </w:rPr>
              <w:t xml:space="preserve">Type</w:t>
            </w:r>
          </w:p>
        </w:tc>
        <w:tc>
          <w:tcPr>
            <w:tcW w:w="1891" w:type="dxa"/>
            <w:shd w:val="clear" w:color="auto" w:fill="1F3A5F"/>
          </w:tcPr>
          <w:p>
            <w:pPr>
              <w:pStyle w:val="Compact"/>
              <w:spacing w:after="20" w:before="20"/>
              <w:jc w:val="left"/>
            </w:pPr>
            <w:r>
              <w:rPr>
                <w:b/>
                <w:color w:val="FFFFFF"/>
                <w:sz w:val="18"/>
              </w:rPr>
              <w:t xml:space="preserve">Principe</w:t>
            </w:r>
          </w:p>
        </w:tc>
        <w:tc>
          <w:tcPr>
            <w:tcW w:w="1954" w:type="dxa"/>
            <w:shd w:val="clear" w:color="auto" w:fill="1F3A5F"/>
          </w:tcPr>
          <w:p>
            <w:pPr>
              <w:pStyle w:val="Compact"/>
              <w:spacing w:after="20" w:before="20"/>
              <w:jc w:val="left"/>
            </w:pPr>
            <w:r>
              <w:rPr>
                <w:b/>
                <w:color w:val="FFFFFF"/>
                <w:sz w:val="18"/>
              </w:rPr>
              <w:t xml:space="preserve">Usage recommandé</w:t>
            </w:r>
          </w:p>
        </w:tc>
        <w:tc>
          <w:tcPr>
            <w:tcW w:w="1985" w:type="dxa"/>
            <w:shd w:val="clear" w:color="auto" w:fill="1F3A5F"/>
          </w:tcPr>
          <w:p>
            <w:pPr>
              <w:pStyle w:val="Compact"/>
              <w:spacing w:after="20" w:before="20"/>
              <w:jc w:val="left"/>
            </w:pPr>
            <w:r>
              <w:rPr>
                <w:b/>
                <w:color w:val="FFFFFF"/>
                <w:sz w:val="18"/>
              </w:rPr>
              <w:t xml:space="preserve">Avantages</w:t>
            </w:r>
          </w:p>
        </w:tc>
        <w:tc>
          <w:tcPr>
            <w:tcW w:w="1954" w:type="dxa"/>
            <w:shd w:val="clear" w:color="auto" w:fill="1F3A5F"/>
          </w:tcPr>
          <w:p>
            <w:pPr>
              <w:pStyle w:val="Compact"/>
              <w:spacing w:after="20" w:before="20"/>
              <w:jc w:val="left"/>
            </w:pPr>
            <w:r>
              <w:rPr>
                <w:b/>
                <w:color w:val="FFFFFF"/>
                <w:sz w:val="18"/>
              </w:rPr>
              <w:t xml:space="preserve">Limites</w:t>
            </w:r>
          </w:p>
        </w:tc>
      </w:tr>
      <w:tr>
        <w:trPr>
          <w:cantSplit w:val="true"/>
        </w:trPr>
        <w:tc>
          <w:tcPr>
            <w:tcW w:w="1626" w:type="dxa"/>
          </w:tcPr>
          <w:p>
            <w:pPr>
              <w:pStyle w:val="Compact"/>
              <w:spacing w:after="20" w:before="20"/>
              <w:jc w:val="left"/>
            </w:pPr>
            <w:r>
              <w:rPr>
                <w:bCs/>
                <w:b/>
                <w:sz w:val="18"/>
              </w:rPr>
              <w:t xml:space="preserve">Complète</w:t>
            </w:r>
            <w:r>
              <w:rPr>
                <w:sz w:val="18"/>
              </w:rPr>
              <w:t xml:space="preserve"> </w:t>
            </w:r>
            <w:r>
              <w:rPr>
                <w:sz w:val="18"/>
              </w:rPr>
              <w:t xml:space="preserve">(</w:t>
            </w:r>
            <w:r>
              <w:rPr>
                <w:iCs/>
                <w:i/>
                <w:sz w:val="18"/>
              </w:rPr>
              <w:t xml:space="preserve">full</w:t>
            </w:r>
            <w:r>
              <w:rPr>
                <w:sz w:val="18"/>
              </w:rPr>
              <w:t xml:space="preserve">)</w:t>
            </w:r>
          </w:p>
        </w:tc>
        <w:tc>
          <w:tcPr>
            <w:tcW w:w="1891" w:type="dxa"/>
          </w:tcPr>
          <w:p>
            <w:pPr>
              <w:pStyle w:val="Compact"/>
              <w:spacing w:after="20" w:before="20"/>
              <w:jc w:val="left"/>
            </w:pPr>
            <w:r>
              <w:rPr>
                <w:sz w:val="18"/>
              </w:rPr>
              <w:t xml:space="preserve">Copie de toutes les données du support d'origine (logique ou physique) sur un support distinct</w:t>
            </w:r>
          </w:p>
        </w:tc>
        <w:tc>
          <w:tcPr>
            <w:tcW w:w="1954" w:type="dxa"/>
          </w:tcPr>
          <w:p>
            <w:pPr>
              <w:pStyle w:val="Compact"/>
              <w:spacing w:after="20" w:before="20"/>
              <w:jc w:val="left"/>
            </w:pPr>
            <w:r>
              <w:rPr>
                <w:sz w:val="18"/>
              </w:rPr>
              <w:t xml:space="preserve">Données vivantes ; peu recommandée comme usage exclusif en raison de sa durée</w:t>
            </w:r>
          </w:p>
        </w:tc>
        <w:tc>
          <w:tcPr>
            <w:tcW w:w="1985" w:type="dxa"/>
          </w:tcPr>
          <w:p>
            <w:pPr>
              <w:pStyle w:val="Compact"/>
              <w:spacing w:after="20" w:before="20"/>
              <w:jc w:val="left"/>
            </w:pPr>
            <w:r>
              <w:rPr>
                <w:sz w:val="18"/>
              </w:rPr>
              <w:t xml:space="preserve">Restauration simple, en une seule étape</w:t>
            </w:r>
          </w:p>
        </w:tc>
        <w:tc>
          <w:tcPr>
            <w:tcW w:w="1954" w:type="dxa"/>
          </w:tcPr>
          <w:p>
            <w:pPr>
              <w:pStyle w:val="Compact"/>
              <w:spacing w:after="20" w:before="20"/>
              <w:jc w:val="left"/>
            </w:pPr>
            <w:r>
              <w:rPr>
                <w:sz w:val="18"/>
              </w:rPr>
              <w:t xml:space="preserve">Longue ; impacte la disponibilité pendant la sauvegarde et la restauration (DMIA, D au sens DICP)</w:t>
            </w:r>
          </w:p>
        </w:tc>
      </w:tr>
      <w:tr>
        <w:trPr>
          <w:cantSplit w:val="true"/>
        </w:trPr>
        <w:tc>
          <w:tcPr>
            <w:tcW w:w="1626" w:type="dxa"/>
            <w:shd w:val="clear" w:color="auto" w:fill="EEF2F6"/>
          </w:tcPr>
          <w:p>
            <w:pPr>
              <w:pStyle w:val="Compact"/>
              <w:spacing w:after="20" w:before="20"/>
              <w:jc w:val="left"/>
            </w:pPr>
            <w:r>
              <w:rPr>
                <w:bCs/>
                <w:b/>
                <w:sz w:val="18"/>
              </w:rPr>
              <w:t xml:space="preserve">Différentielle</w:t>
            </w:r>
          </w:p>
        </w:tc>
        <w:tc>
          <w:tcPr>
            <w:tcW w:w="1891" w:type="dxa"/>
            <w:shd w:val="clear" w:color="auto" w:fill="EEF2F6"/>
          </w:tcPr>
          <w:p>
            <w:pPr>
              <w:pStyle w:val="Compact"/>
              <w:spacing w:after="20" w:before="20"/>
              <w:jc w:val="left"/>
            </w:pPr>
            <w:r>
              <w:rPr>
                <w:sz w:val="18"/>
              </w:rPr>
              <w:t xml:space="preserve">Copie des données modifiées depuis la dernière sauvegarde</w:t>
            </w:r>
            <w:r>
              <w:rPr>
                <w:sz w:val="18"/>
              </w:rPr>
              <w:t xml:space="preserve"> </w:t>
            </w:r>
            <w:r>
              <w:rPr>
                <w:bCs/>
                <w:b/>
                <w:sz w:val="18"/>
              </w:rPr>
              <w:t xml:space="preserve">complète</w:t>
            </w:r>
          </w:p>
        </w:tc>
        <w:tc>
          <w:tcPr>
            <w:tcW w:w="1954" w:type="dxa"/>
            <w:shd w:val="clear" w:color="auto" w:fill="EEF2F6"/>
          </w:tcPr>
          <w:p>
            <w:pPr>
              <w:pStyle w:val="Compact"/>
              <w:spacing w:after="20" w:before="20"/>
              <w:jc w:val="left"/>
            </w:pPr>
            <w:r>
              <w:rPr>
                <w:sz w:val="18"/>
              </w:rPr>
              <w:t xml:space="preserve">Historisation sur longue période ; usage en recul au profit de l'incrémentale</w:t>
            </w:r>
          </w:p>
        </w:tc>
        <w:tc>
          <w:tcPr>
            <w:tcW w:w="1985" w:type="dxa"/>
            <w:shd w:val="clear" w:color="auto" w:fill="EEF2F6"/>
          </w:tcPr>
          <w:p>
            <w:pPr>
              <w:pStyle w:val="Compact"/>
              <w:spacing w:after="20" w:before="20"/>
              <w:jc w:val="left"/>
            </w:pPr>
            <w:r>
              <w:rPr>
                <w:sz w:val="18"/>
              </w:rPr>
              <w:t xml:space="preserve">Restauration en deux étapes (complète + dernière différentielle)</w:t>
            </w:r>
          </w:p>
        </w:tc>
        <w:tc>
          <w:tcPr>
            <w:tcW w:w="1954" w:type="dxa"/>
            <w:shd w:val="clear" w:color="auto" w:fill="EEF2F6"/>
          </w:tcPr>
          <w:p>
            <w:pPr>
              <w:pStyle w:val="Compact"/>
              <w:spacing w:after="20" w:before="20"/>
              <w:jc w:val="left"/>
            </w:pPr>
            <w:r>
              <w:rPr>
                <w:sz w:val="18"/>
              </w:rPr>
              <w:t xml:space="preserve">Volume croissant jusqu'à la complète suivante ; impact sur la disponibilité</w:t>
            </w:r>
          </w:p>
        </w:tc>
      </w:tr>
      <w:tr>
        <w:trPr>
          <w:cantSplit w:val="true"/>
        </w:trPr>
        <w:tc>
          <w:tcPr>
            <w:tcW w:w="1626" w:type="dxa"/>
          </w:tcPr>
          <w:p>
            <w:pPr>
              <w:pStyle w:val="Compact"/>
              <w:spacing w:after="20" w:before="20"/>
              <w:jc w:val="left"/>
            </w:pPr>
            <w:r>
              <w:rPr>
                <w:bCs/>
                <w:b/>
                <w:sz w:val="18"/>
              </w:rPr>
              <w:t xml:space="preserve">Incrémentale</w:t>
            </w:r>
          </w:p>
        </w:tc>
        <w:tc>
          <w:tcPr>
            <w:tcW w:w="1891" w:type="dxa"/>
          </w:tcPr>
          <w:p>
            <w:pPr>
              <w:pStyle w:val="Compact"/>
              <w:spacing w:after="20" w:before="20"/>
              <w:jc w:val="left"/>
            </w:pPr>
            <w:r>
              <w:rPr>
                <w:sz w:val="18"/>
              </w:rPr>
              <w:t xml:space="preserve">Copie des données modifiées depuis la dernière sauvegarde,</w:t>
            </w:r>
            <w:r>
              <w:rPr>
                <w:sz w:val="18"/>
              </w:rPr>
              <w:t xml:space="preserve"> </w:t>
            </w:r>
            <w:r>
              <w:rPr>
                <w:bCs/>
                <w:b/>
                <w:sz w:val="18"/>
              </w:rPr>
              <w:t xml:space="preserve">quel que soit son type</w:t>
            </w:r>
          </w:p>
        </w:tc>
        <w:tc>
          <w:tcPr>
            <w:tcW w:w="1954" w:type="dxa"/>
          </w:tcPr>
          <w:p>
            <w:pPr>
              <w:pStyle w:val="Compact"/>
              <w:spacing w:after="20" w:before="20"/>
              <w:jc w:val="left"/>
            </w:pPr>
            <w:r>
              <w:rPr>
                <w:sz w:val="18"/>
              </w:rPr>
              <w:t xml:space="preserve">Données à fort taux de modification ; historisation sur longue période</w:t>
            </w:r>
          </w:p>
        </w:tc>
        <w:tc>
          <w:tcPr>
            <w:tcW w:w="1985" w:type="dxa"/>
          </w:tcPr>
          <w:p>
            <w:pPr>
              <w:pStyle w:val="Compact"/>
              <w:spacing w:after="20" w:before="20"/>
              <w:jc w:val="left"/>
            </w:pPr>
            <w:r>
              <w:rPr>
                <w:sz w:val="18"/>
              </w:rPr>
              <w:t xml:space="preserve">Rapide et économe ; peut être le seul type utilisé (la première incrémentale équivaut à une complète)</w:t>
            </w:r>
          </w:p>
        </w:tc>
        <w:tc>
          <w:tcPr>
            <w:tcW w:w="1954" w:type="dxa"/>
          </w:tcPr>
          <w:p>
            <w:pPr>
              <w:pStyle w:val="Compact"/>
              <w:spacing w:after="20" w:before="20"/>
              <w:jc w:val="left"/>
            </w:pPr>
            <w:r>
              <w:rPr>
                <w:sz w:val="18"/>
              </w:rPr>
              <w:t xml:space="preserve">Restauration nécessitant la reconstruction de la chaîne ; mise en œuvre plus complexe</w:t>
            </w:r>
          </w:p>
        </w:tc>
      </w:tr>
      <w:tr>
        <w:trPr>
          <w:cantSplit w:val="true"/>
        </w:trPr>
        <w:tc>
          <w:tcPr>
            <w:tcW w:w="1626" w:type="dxa"/>
            <w:shd w:val="clear" w:color="auto" w:fill="EEF2F6"/>
          </w:tcPr>
          <w:p>
            <w:pPr>
              <w:pStyle w:val="Compact"/>
              <w:spacing w:after="20" w:before="20"/>
              <w:jc w:val="left"/>
            </w:pPr>
            <w:r>
              <w:rPr>
                <w:bCs/>
                <w:b/>
                <w:sz w:val="18"/>
              </w:rPr>
              <w:t xml:space="preserve">Par journalisation</w:t>
            </w:r>
            <w:r>
              <w:rPr>
                <w:sz w:val="18"/>
              </w:rPr>
              <w:t xml:space="preserve"> </w:t>
            </w:r>
            <w:r>
              <w:rPr>
                <w:sz w:val="18"/>
              </w:rPr>
              <w:t xml:space="preserve">(</w:t>
            </w:r>
            <w:r>
              <w:rPr>
                <w:iCs/>
                <w:i/>
                <w:sz w:val="18"/>
              </w:rPr>
              <w:t xml:space="preserve">logging</w:t>
            </w:r>
            <w:r>
              <w:rPr>
                <w:sz w:val="18"/>
              </w:rPr>
              <w:t xml:space="preserve">)</w:t>
            </w:r>
          </w:p>
        </w:tc>
        <w:tc>
          <w:tcPr>
            <w:tcW w:w="1891" w:type="dxa"/>
            <w:shd w:val="clear" w:color="auto" w:fill="EEF2F6"/>
          </w:tcPr>
          <w:p>
            <w:pPr>
              <w:pStyle w:val="Compact"/>
              <w:spacing w:after="20" w:before="20"/>
              <w:jc w:val="left"/>
            </w:pPr>
            <w:r>
              <w:rPr>
                <w:sz w:val="18"/>
              </w:rPr>
              <w:t xml:space="preserve">Chaque création, modification ou suppression est journalisée sur un support indépendant</w:t>
            </w:r>
          </w:p>
        </w:tc>
        <w:tc>
          <w:tcPr>
            <w:tcW w:w="1954" w:type="dxa"/>
            <w:shd w:val="clear" w:color="auto" w:fill="EEF2F6"/>
          </w:tcPr>
          <w:p>
            <w:pPr>
              <w:pStyle w:val="Compact"/>
              <w:spacing w:after="20" w:before="20"/>
              <w:jc w:val="left"/>
            </w:pPr>
            <w:r>
              <w:rPr>
                <w:sz w:val="18"/>
              </w:rPr>
              <w:t xml:space="preserve">Bases de données</w:t>
            </w:r>
          </w:p>
        </w:tc>
        <w:tc>
          <w:tcPr>
            <w:tcW w:w="1985" w:type="dxa"/>
            <w:shd w:val="clear" w:color="auto" w:fill="EEF2F6"/>
          </w:tcPr>
          <w:p>
            <w:pPr>
              <w:pStyle w:val="Compact"/>
              <w:spacing w:after="20" w:before="20"/>
              <w:jc w:val="left"/>
            </w:pPr>
            <w:r>
              <w:rPr>
                <w:sz w:val="18"/>
              </w:rPr>
              <w:t xml:space="preserve">Restauration à n'importe quel état (point dans le temps)</w:t>
            </w:r>
          </w:p>
        </w:tc>
        <w:tc>
          <w:tcPr>
            <w:tcW w:w="1954" w:type="dxa"/>
            <w:shd w:val="clear" w:color="auto" w:fill="EEF2F6"/>
          </w:tcPr>
          <w:p>
            <w:pPr>
              <w:pStyle w:val="Compact"/>
              <w:spacing w:after="20" w:before="20"/>
              <w:jc w:val="left"/>
            </w:pPr>
            <w:r>
              <w:rPr>
                <w:sz w:val="18"/>
              </w:rPr>
              <w:t xml:space="preserve">Restauration assimilable à une reconstruction depuis le dernier état complet ; exploitation complexe</w:t>
            </w:r>
          </w:p>
        </w:tc>
      </w:tr>
      <w:tr>
        <w:trPr>
          <w:cantSplit w:val="true"/>
        </w:trPr>
        <w:tc>
          <w:tcPr>
            <w:tcW w:w="1626" w:type="dxa"/>
          </w:tcPr>
          <w:p>
            <w:pPr>
              <w:pStyle w:val="Compact"/>
              <w:spacing w:after="20" w:before="20"/>
              <w:jc w:val="left"/>
            </w:pPr>
            <w:r>
              <w:rPr>
                <w:bCs/>
                <w:b/>
                <w:sz w:val="18"/>
              </w:rPr>
              <w:t xml:space="preserve">Par réplication</w:t>
            </w:r>
          </w:p>
        </w:tc>
        <w:tc>
          <w:tcPr>
            <w:tcW w:w="1891" w:type="dxa"/>
          </w:tcPr>
          <w:p>
            <w:pPr>
              <w:pStyle w:val="Compact"/>
              <w:spacing w:after="20" w:before="20"/>
              <w:jc w:val="left"/>
            </w:pPr>
            <w:r>
              <w:rPr>
                <w:sz w:val="18"/>
              </w:rPr>
              <w:t xml:space="preserve">Duplication synchrone de chaque donnée sur un support distinct</w:t>
            </w:r>
          </w:p>
        </w:tc>
        <w:tc>
          <w:tcPr>
            <w:tcW w:w="1954" w:type="dxa"/>
          </w:tcPr>
          <w:p>
            <w:pPr>
              <w:pStyle w:val="Compact"/>
              <w:spacing w:after="20" w:before="20"/>
              <w:jc w:val="left"/>
            </w:pPr>
            <w:r>
              <w:rPr>
                <w:sz w:val="18"/>
              </w:rPr>
              <w:t xml:space="preserve">Données vivantes, face au sinistre physique</w:t>
            </w:r>
          </w:p>
        </w:tc>
        <w:tc>
          <w:tcPr>
            <w:tcW w:w="1985" w:type="dxa"/>
          </w:tcPr>
          <w:p>
            <w:pPr>
              <w:pStyle w:val="Compact"/>
              <w:spacing w:after="20" w:before="20"/>
              <w:jc w:val="left"/>
            </w:pPr>
            <w:r>
              <w:rPr>
                <w:sz w:val="18"/>
              </w:rPr>
              <w:t xml:space="preserve">Mise en œuvre simple ; PDMA nulle face à une panne</w:t>
            </w:r>
          </w:p>
        </w:tc>
        <w:tc>
          <w:tcPr>
            <w:tcW w:w="1954" w:type="dxa"/>
          </w:tcPr>
          <w:p>
            <w:pPr>
              <w:pStyle w:val="Compact"/>
              <w:spacing w:after="20" w:before="20"/>
              <w:jc w:val="left"/>
            </w:pPr>
            <w:r>
              <w:rPr>
                <w:sz w:val="18"/>
              </w:rPr>
              <w:t xml:space="preserve">Réplique aussi les corruptions et chiffrements ; inapplicable aux archives ; coût équivalent au stockage primaire</w:t>
            </w:r>
          </w:p>
        </w:tc>
      </w:tr>
      <w:tr>
        <w:trPr>
          <w:cantSplit w:val="true"/>
        </w:trPr>
        <w:tc>
          <w:tcPr>
            <w:tcW w:w="1626" w:type="dxa"/>
            <w:shd w:val="clear" w:color="auto" w:fill="EEF2F6"/>
          </w:tcPr>
          <w:p>
            <w:pPr>
              <w:pStyle w:val="Compact"/>
              <w:spacing w:after="20" w:before="20"/>
              <w:jc w:val="left"/>
            </w:pPr>
            <w:r>
              <w:rPr>
                <w:bCs/>
                <w:b/>
                <w:sz w:val="18"/>
              </w:rPr>
              <w:t xml:space="preserve">Par clonage</w:t>
            </w:r>
          </w:p>
        </w:tc>
        <w:tc>
          <w:tcPr>
            <w:tcW w:w="1891" w:type="dxa"/>
            <w:shd w:val="clear" w:color="auto" w:fill="EEF2F6"/>
          </w:tcPr>
          <w:p>
            <w:pPr>
              <w:pStyle w:val="Compact"/>
              <w:spacing w:after="20" w:before="20"/>
              <w:jc w:val="left"/>
            </w:pPr>
            <w:r>
              <w:rPr>
                <w:sz w:val="18"/>
              </w:rPr>
              <w:t xml:space="preserve">Copie intégrale à un instant donné sur un support distinct</w:t>
            </w:r>
          </w:p>
        </w:tc>
        <w:tc>
          <w:tcPr>
            <w:tcW w:w="1954" w:type="dxa"/>
            <w:shd w:val="clear" w:color="auto" w:fill="EEF2F6"/>
          </w:tcPr>
          <w:p>
            <w:pPr>
              <w:pStyle w:val="Compact"/>
              <w:spacing w:after="20" w:before="20"/>
              <w:jc w:val="left"/>
            </w:pPr>
            <w:r>
              <w:rPr>
                <w:sz w:val="18"/>
              </w:rPr>
              <w:t xml:space="preserve">Données exigeant une restauration très rapide (le clone peut remplacer le support d'origine)</w:t>
            </w:r>
          </w:p>
        </w:tc>
        <w:tc>
          <w:tcPr>
            <w:tcW w:w="1985" w:type="dxa"/>
            <w:shd w:val="clear" w:color="auto" w:fill="EEF2F6"/>
          </w:tcPr>
          <w:p>
            <w:pPr>
              <w:pStyle w:val="Compact"/>
              <w:spacing w:after="20" w:before="20"/>
              <w:jc w:val="left"/>
            </w:pPr>
            <w:r>
              <w:rPr>
                <w:sz w:val="18"/>
              </w:rPr>
              <w:t xml:space="preserve">Restauration quasi instantanée</w:t>
            </w:r>
          </w:p>
        </w:tc>
        <w:tc>
          <w:tcPr>
            <w:tcW w:w="1954" w:type="dxa"/>
            <w:shd w:val="clear" w:color="auto" w:fill="EEF2F6"/>
          </w:tcPr>
          <w:p>
            <w:pPr>
              <w:pStyle w:val="Compact"/>
              <w:spacing w:after="20" w:before="20"/>
              <w:jc w:val="left"/>
            </w:pPr>
            <w:r>
              <w:rPr>
                <w:sz w:val="18"/>
              </w:rPr>
              <w:t xml:space="preserve">Une seule version par clone ; coût équivalent au stockage primaire</w:t>
            </w:r>
          </w:p>
        </w:tc>
      </w:tr>
      <w:tr>
        <w:trPr>
          <w:cantSplit w:val="true"/>
        </w:trPr>
        <w:tc>
          <w:tcPr>
            <w:tcW w:w="1626" w:type="dxa"/>
          </w:tcPr>
          <w:p>
            <w:pPr>
              <w:pStyle w:val="Compact"/>
              <w:spacing w:after="20" w:before="20"/>
              <w:jc w:val="left"/>
            </w:pPr>
            <w:r>
              <w:rPr>
                <w:bCs/>
                <w:b/>
                <w:sz w:val="18"/>
              </w:rPr>
              <w:t xml:space="preserve">Par instantané</w:t>
            </w:r>
            <w:r>
              <w:rPr>
                <w:sz w:val="18"/>
              </w:rPr>
              <w:t xml:space="preserve"> </w:t>
            </w:r>
            <w:r>
              <w:rPr>
                <w:sz w:val="18"/>
              </w:rPr>
              <w:t xml:space="preserve">(</w:t>
            </w:r>
            <w:r>
              <w:rPr>
                <w:iCs/>
                <w:i/>
                <w:sz w:val="18"/>
              </w:rPr>
              <w:t xml:space="preserve">snapshot</w:t>
            </w:r>
            <w:r>
              <w:rPr>
                <w:sz w:val="18"/>
              </w:rPr>
              <w:t xml:space="preserve">)</w:t>
            </w:r>
          </w:p>
        </w:tc>
        <w:tc>
          <w:tcPr>
            <w:tcW w:w="1891" w:type="dxa"/>
          </w:tcPr>
          <w:p>
            <w:pPr>
              <w:pStyle w:val="Compact"/>
              <w:spacing w:after="20" w:before="20"/>
              <w:jc w:val="left"/>
            </w:pPr>
            <w:r>
              <w:rPr>
                <w:sz w:val="18"/>
              </w:rPr>
              <w:t xml:space="preserve">Image logique reposant sur le support d'origine</w:t>
            </w:r>
          </w:p>
        </w:tc>
        <w:tc>
          <w:tcPr>
            <w:tcW w:w="1954" w:type="dxa"/>
          </w:tcPr>
          <w:p>
            <w:pPr>
              <w:pStyle w:val="Compact"/>
              <w:spacing w:after="20" w:before="20"/>
              <w:jc w:val="left"/>
            </w:pPr>
            <w:r>
              <w:rPr>
                <w:sz w:val="18"/>
              </w:rPr>
              <w:t xml:space="preserve">Données exigeant une restauration très rapide</w:t>
            </w:r>
          </w:p>
        </w:tc>
        <w:tc>
          <w:tcPr>
            <w:tcW w:w="1985" w:type="dxa"/>
          </w:tcPr>
          <w:p>
            <w:pPr>
              <w:pStyle w:val="Compact"/>
              <w:spacing w:after="20" w:before="20"/>
              <w:jc w:val="left"/>
            </w:pPr>
            <w:r>
              <w:rPr>
                <w:sz w:val="18"/>
              </w:rPr>
              <w:t xml:space="preserve">Coût limité à la réserve allouée (souvent de l'ordre de 30 % du volume)</w:t>
            </w:r>
          </w:p>
        </w:tc>
        <w:tc>
          <w:tcPr>
            <w:tcW w:w="1954" w:type="dxa"/>
          </w:tcPr>
          <w:p>
            <w:pPr>
              <w:pStyle w:val="Compact"/>
              <w:spacing w:after="20" w:before="20"/>
              <w:jc w:val="left"/>
            </w:pPr>
            <w:r>
              <w:rPr>
                <w:sz w:val="18"/>
              </w:rPr>
              <w:t xml:space="preserve">Dépend de la disponibilité du support d'origine ; ne protège pas d'une perte de la baie</w:t>
            </w:r>
          </w:p>
        </w:tc>
      </w:tr>
    </w:tbl>
    <w:p>
      <w:pPr>
        <w:pStyle w:val="BodyText"/>
      </w:pPr>
      <w:r>
        <w:rPr>
          <w:bCs/>
          <w:b/>
        </w:rPr>
        <w:t xml:space="preserve">Note sur les outils actuels</w:t>
      </w:r>
      <w:r>
        <w:t xml:space="preserve"> </w:t>
      </w:r>
      <w:r>
        <w:t xml:space="preserve">— Les solutions de sauvegarde modernes proposent :</w:t>
      </w:r>
    </w:p>
    <w:p>
      <w:pPr>
        <w:numPr>
          <w:ilvl w:val="0"/>
          <w:numId w:val="1054"/>
        </w:numPr>
        <w:pStyle w:val="Compact"/>
      </w:pPr>
      <w:r>
        <w:t xml:space="preserve">des sauvegardes</w:t>
      </w:r>
      <w:r>
        <w:t xml:space="preserve"> </w:t>
      </w:r>
      <w:r>
        <w:rPr>
          <w:bCs/>
          <w:b/>
        </w:rPr>
        <w:t xml:space="preserve">incrémentales au niveau bloc</w:t>
      </w:r>
      <w:r>
        <w:t xml:space="preserve">, indépendantes du format logique des données, qui optimisent l'usage des supports et des matériels, augmentent les débits et réduisent l'impact sur les données vivantes ;</w:t>
      </w:r>
    </w:p>
    <w:p>
      <w:pPr>
        <w:numPr>
          <w:ilvl w:val="0"/>
          <w:numId w:val="1054"/>
        </w:numPr>
        <w:pStyle w:val="Compact"/>
      </w:pPr>
      <w:r>
        <w:t xml:space="preserve">des</w:t>
      </w:r>
      <w:r>
        <w:t xml:space="preserve"> </w:t>
      </w:r>
      <w:r>
        <w:rPr>
          <w:bCs/>
          <w:b/>
        </w:rPr>
        <w:t xml:space="preserve">restaurations consolidées</w:t>
      </w:r>
      <w:r>
        <w:t xml:space="preserve"> </w:t>
      </w:r>
      <w:r>
        <w:t xml:space="preserve">au niveau logique : restauration au niveau bloc pour privilégier la vitesse, ou au niveau des structures de données (fichier, base, objet) pour la granularité ;</w:t>
      </w:r>
    </w:p>
    <w:p>
      <w:pPr>
        <w:numPr>
          <w:ilvl w:val="0"/>
          <w:numId w:val="1054"/>
        </w:numPr>
        <w:pStyle w:val="Compact"/>
      </w:pPr>
      <w:r>
        <w:t xml:space="preserve">des fonctions d'</w:t>
      </w:r>
      <w:r>
        <w:rPr>
          <w:bCs/>
          <w:b/>
        </w:rPr>
        <w:t xml:space="preserve">immutabilité</w:t>
      </w:r>
      <w:r>
        <w:t xml:space="preserve">, de</w:t>
      </w:r>
      <w:r>
        <w:t xml:space="preserve"> </w:t>
      </w:r>
      <w:r>
        <w:rPr>
          <w:bCs/>
          <w:b/>
        </w:rPr>
        <w:t xml:space="preserve">détection d'anomalies</w:t>
      </w:r>
      <w:r>
        <w:t xml:space="preserve"> </w:t>
      </w:r>
      <w:r>
        <w:t xml:space="preserve">et d'</w:t>
      </w:r>
      <w:r>
        <w:rPr>
          <w:bCs/>
          <w:b/>
        </w:rPr>
        <w:t xml:space="preserve">analyse des copies</w:t>
      </w:r>
      <w:r>
        <w:t xml:space="preserve"> </w:t>
      </w:r>
      <w:r>
        <w:t xml:space="preserve">avant restauration, qui répondent spécifiquement au scénario ILG.</w:t>
      </w:r>
    </w:p>
    <w:bookmarkEnd w:id="124"/>
    <w:bookmarkStart w:id="125" w:name="annexe-d-glossaire"/>
    <w:p>
      <w:pPr>
        <w:pStyle w:val="Heading2"/>
      </w:pPr>
      <w:r>
        <w:t xml:space="preserve">Annexe D — Glossaire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882"/>
        <w:gridCol w:w="7529"/>
      </w:tblGrid>
      <w:tr>
        <w:trPr>
          <w:tblHeader w:val="true"/>
          <w:tblHeader w:val="true"/>
          <w:cantSplit w:val="true"/>
        </w:trPr>
        <w:tc>
          <w:tcPr>
            <w:tcW w:w="1882" w:type="dxa"/>
            <w:shd w:val="clear" w:color="auto" w:fill="1F3A5F"/>
          </w:tcPr>
          <w:p>
            <w:pPr>
              <w:pStyle w:val="Compact"/>
              <w:spacing w:after="20" w:before="20"/>
              <w:jc w:val="left"/>
            </w:pPr>
            <w:r>
              <w:rPr>
                <w:b/>
                <w:color w:val="FFFFFF"/>
                <w:sz w:val="18"/>
              </w:rPr>
              <w:t xml:space="preserve">Sigle</w:t>
            </w:r>
          </w:p>
        </w:tc>
        <w:tc>
          <w:tcPr>
            <w:tcW w:w="7529" w:type="dxa"/>
            <w:shd w:val="clear" w:color="auto" w:fill="1F3A5F"/>
          </w:tcPr>
          <w:p>
            <w:pPr>
              <w:pStyle w:val="Compact"/>
              <w:spacing w:after="20" w:before="20"/>
              <w:jc w:val="left"/>
            </w:pPr>
            <w:r>
              <w:rPr>
                <w:b/>
                <w:color w:val="FFFFFF"/>
                <w:sz w:val="18"/>
              </w:rPr>
              <w:t xml:space="preserve">Signification</w:t>
            </w:r>
          </w:p>
        </w:tc>
      </w:tr>
      <w:tr>
        <w:trPr>
          <w:cantSplit w:val="true"/>
        </w:trPr>
        <w:tc>
          <w:tcPr>
            <w:tcW w:w="1882" w:type="dxa"/>
          </w:tcPr>
          <w:p>
            <w:pPr>
              <w:pStyle w:val="Compact"/>
              <w:spacing w:after="20" w:before="20"/>
              <w:jc w:val="left"/>
            </w:pPr>
            <w:r>
              <w:rPr>
                <w:sz w:val="18"/>
              </w:rPr>
              <w:t xml:space="preserve">AdMP</w:t>
            </w:r>
          </w:p>
        </w:tc>
        <w:tc>
          <w:tcPr>
            <w:tcW w:w="7529" w:type="dxa"/>
          </w:tcPr>
          <w:p>
            <w:pPr>
              <w:pStyle w:val="Compact"/>
              <w:spacing w:after="20" w:before="20"/>
              <w:jc w:val="left"/>
            </w:pPr>
            <w:r>
              <w:rPr>
                <w:sz w:val="18"/>
              </w:rPr>
              <w:t xml:space="preserve">Administrateur des moyens de production</w:t>
            </w:r>
          </w:p>
        </w:tc>
      </w:tr>
      <w:tr>
        <w:trPr>
          <w:cantSplit w:val="true"/>
        </w:trPr>
        <w:tc>
          <w:tcPr>
            <w:tcW w:w="1882" w:type="dxa"/>
            <w:shd w:val="clear" w:color="auto" w:fill="EEF2F6"/>
          </w:tcPr>
          <w:p>
            <w:pPr>
              <w:pStyle w:val="Compact"/>
              <w:spacing w:after="20" w:before="20"/>
              <w:jc w:val="left"/>
            </w:pPr>
            <w:r>
              <w:rPr>
                <w:sz w:val="18"/>
              </w:rPr>
              <w:t xml:space="preserve">AdSv</w:t>
            </w:r>
          </w:p>
        </w:tc>
        <w:tc>
          <w:tcPr>
            <w:tcW w:w="7529" w:type="dxa"/>
            <w:shd w:val="clear" w:color="auto" w:fill="EEF2F6"/>
          </w:tcPr>
          <w:p>
            <w:pPr>
              <w:pStyle w:val="Compact"/>
              <w:spacing w:after="20" w:before="20"/>
              <w:jc w:val="left"/>
            </w:pPr>
            <w:r>
              <w:rPr>
                <w:sz w:val="18"/>
              </w:rPr>
              <w:t xml:space="preserve">Administrateur de sauvegardes</w:t>
            </w:r>
          </w:p>
        </w:tc>
      </w:tr>
      <w:tr>
        <w:trPr>
          <w:cantSplit w:val="true"/>
        </w:trPr>
        <w:tc>
          <w:tcPr>
            <w:tcW w:w="1882" w:type="dxa"/>
          </w:tcPr>
          <w:p>
            <w:pPr>
              <w:pStyle w:val="Compact"/>
              <w:spacing w:after="20" w:before="20"/>
              <w:jc w:val="left"/>
            </w:pPr>
            <w:r>
              <w:rPr>
                <w:sz w:val="18"/>
              </w:rPr>
              <w:t xml:space="preserve">BIA</w:t>
            </w:r>
          </w:p>
        </w:tc>
        <w:tc>
          <w:tcPr>
            <w:tcW w:w="7529" w:type="dxa"/>
          </w:tcPr>
          <w:p>
            <w:pPr>
              <w:pStyle w:val="Compact"/>
              <w:spacing w:after="20" w:before="20"/>
              <w:jc w:val="left"/>
            </w:pPr>
            <w:r>
              <w:rPr>
                <w:iCs/>
                <w:i/>
                <w:sz w:val="18"/>
              </w:rPr>
              <w:t xml:space="preserve">Business Impact Analysis</w:t>
            </w:r>
            <w:r>
              <w:rPr>
                <w:sz w:val="18"/>
              </w:rPr>
              <w:t xml:space="preserve"> </w:t>
            </w:r>
            <w:r>
              <w:rPr>
                <w:sz w:val="18"/>
              </w:rPr>
              <w:t xml:space="preserve">— analyse d'impact sur l'activité</w:t>
            </w:r>
          </w:p>
        </w:tc>
      </w:tr>
      <w:tr>
        <w:trPr>
          <w:cantSplit w:val="true"/>
        </w:trPr>
        <w:tc>
          <w:tcPr>
            <w:tcW w:w="1882" w:type="dxa"/>
            <w:shd w:val="clear" w:color="auto" w:fill="EEF2F6"/>
          </w:tcPr>
          <w:p>
            <w:pPr>
              <w:pStyle w:val="Compact"/>
              <w:spacing w:after="20" w:before="20"/>
              <w:jc w:val="left"/>
            </w:pPr>
            <w:r>
              <w:rPr>
                <w:sz w:val="18"/>
              </w:rPr>
              <w:t xml:space="preserve">CMDB</w:t>
            </w:r>
          </w:p>
        </w:tc>
        <w:tc>
          <w:tcPr>
            <w:tcW w:w="7529" w:type="dxa"/>
            <w:shd w:val="clear" w:color="auto" w:fill="EEF2F6"/>
          </w:tcPr>
          <w:p>
            <w:pPr>
              <w:pStyle w:val="Compact"/>
              <w:spacing w:after="20" w:before="20"/>
              <w:jc w:val="left"/>
            </w:pPr>
            <w:r>
              <w:rPr>
                <w:sz w:val="18"/>
              </w:rPr>
              <w:t xml:space="preserve">Base de données de gestion des configurations</w:t>
            </w:r>
          </w:p>
        </w:tc>
      </w:tr>
      <w:tr>
        <w:trPr>
          <w:cantSplit w:val="true"/>
        </w:trPr>
        <w:tc>
          <w:tcPr>
            <w:tcW w:w="1882" w:type="dxa"/>
          </w:tcPr>
          <w:p>
            <w:pPr>
              <w:pStyle w:val="Compact"/>
              <w:spacing w:after="20" w:before="20"/>
              <w:jc w:val="left"/>
            </w:pPr>
            <w:r>
              <w:rPr>
                <w:sz w:val="18"/>
              </w:rPr>
              <w:t xml:space="preserve">DARCH</w:t>
            </w:r>
          </w:p>
        </w:tc>
        <w:tc>
          <w:tcPr>
            <w:tcW w:w="7529" w:type="dxa"/>
          </w:tcPr>
          <w:p>
            <w:pPr>
              <w:pStyle w:val="Compact"/>
              <w:spacing w:after="20" w:before="20"/>
              <w:jc w:val="left"/>
            </w:pPr>
            <w:r>
              <w:rPr>
                <w:sz w:val="18"/>
              </w:rPr>
              <w:t xml:space="preserve">Directeur de l'Architecture</w:t>
            </w:r>
          </w:p>
        </w:tc>
      </w:tr>
      <w:tr>
        <w:trPr>
          <w:cantSplit w:val="true"/>
        </w:trPr>
        <w:tc>
          <w:tcPr>
            <w:tcW w:w="1882" w:type="dxa"/>
            <w:shd w:val="clear" w:color="auto" w:fill="EEF2F6"/>
          </w:tcPr>
          <w:p>
            <w:pPr>
              <w:pStyle w:val="Compact"/>
              <w:spacing w:after="20" w:before="20"/>
              <w:jc w:val="left"/>
            </w:pPr>
            <w:r>
              <w:rPr>
                <w:sz w:val="18"/>
              </w:rPr>
              <w:t xml:space="preserve">DICP</w:t>
            </w:r>
          </w:p>
        </w:tc>
        <w:tc>
          <w:tcPr>
            <w:tcW w:w="7529" w:type="dxa"/>
            <w:shd w:val="clear" w:color="auto" w:fill="EEF2F6"/>
          </w:tcPr>
          <w:p>
            <w:pPr>
              <w:pStyle w:val="Compact"/>
              <w:spacing w:after="20" w:before="20"/>
              <w:jc w:val="left"/>
            </w:pPr>
            <w:r>
              <w:rPr>
                <w:sz w:val="18"/>
              </w:rPr>
              <w:t xml:space="preserve">Disponibilité, Intégrité, Confidentialité, Preuve</w:t>
            </w:r>
          </w:p>
        </w:tc>
      </w:tr>
      <w:tr>
        <w:trPr>
          <w:cantSplit w:val="true"/>
        </w:trPr>
        <w:tc>
          <w:tcPr>
            <w:tcW w:w="1882" w:type="dxa"/>
          </w:tcPr>
          <w:p>
            <w:pPr>
              <w:pStyle w:val="Compact"/>
              <w:spacing w:after="20" w:before="20"/>
              <w:jc w:val="left"/>
            </w:pPr>
            <w:r>
              <w:rPr>
                <w:sz w:val="18"/>
              </w:rPr>
              <w:t xml:space="preserve">DIO</w:t>
            </w:r>
          </w:p>
        </w:tc>
        <w:tc>
          <w:tcPr>
            <w:tcW w:w="7529" w:type="dxa"/>
          </w:tcPr>
          <w:p>
            <w:pPr>
              <w:pStyle w:val="Compact"/>
              <w:spacing w:after="20" w:before="20"/>
              <w:jc w:val="left"/>
            </w:pPr>
            <w:r>
              <w:rPr>
                <w:sz w:val="18"/>
              </w:rPr>
              <w:t xml:space="preserve">Directeur des Infrastructures et des Opérations</w:t>
            </w:r>
          </w:p>
        </w:tc>
      </w:tr>
      <w:tr>
        <w:trPr>
          <w:cantSplit w:val="true"/>
        </w:trPr>
        <w:tc>
          <w:tcPr>
            <w:tcW w:w="1882" w:type="dxa"/>
            <w:shd w:val="clear" w:color="auto" w:fill="EEF2F6"/>
          </w:tcPr>
          <w:p>
            <w:pPr>
              <w:pStyle w:val="Compact"/>
              <w:spacing w:after="20" w:before="20"/>
              <w:jc w:val="left"/>
            </w:pPr>
            <w:r>
              <w:rPr>
                <w:sz w:val="18"/>
              </w:rPr>
              <w:t xml:space="preserve">DMIA</w:t>
            </w:r>
          </w:p>
        </w:tc>
        <w:tc>
          <w:tcPr>
            <w:tcW w:w="7529" w:type="dxa"/>
            <w:shd w:val="clear" w:color="auto" w:fill="EEF2F6"/>
          </w:tcPr>
          <w:p>
            <w:pPr>
              <w:pStyle w:val="Compact"/>
              <w:spacing w:after="20" w:before="20"/>
              <w:jc w:val="left"/>
            </w:pPr>
            <w:r>
              <w:rPr>
                <w:sz w:val="18"/>
              </w:rPr>
              <w:t xml:space="preserve">Durée Maximale d'Interruption Admissible — dans ce document, engagement de restauration de la DSI (RTO informatique) ; voir §5.2</w:t>
            </w:r>
          </w:p>
        </w:tc>
      </w:tr>
      <w:tr>
        <w:trPr>
          <w:cantSplit w:val="true"/>
        </w:trPr>
        <w:tc>
          <w:tcPr>
            <w:tcW w:w="1882" w:type="dxa"/>
          </w:tcPr>
          <w:p>
            <w:pPr>
              <w:pStyle w:val="Compact"/>
              <w:spacing w:after="20" w:before="20"/>
              <w:jc w:val="left"/>
            </w:pPr>
            <w:r>
              <w:rPr>
                <w:sz w:val="18"/>
              </w:rPr>
              <w:t xml:space="preserve">DSI</w:t>
            </w:r>
          </w:p>
        </w:tc>
        <w:tc>
          <w:tcPr>
            <w:tcW w:w="7529" w:type="dxa"/>
          </w:tcPr>
          <w:p>
            <w:pPr>
              <w:pStyle w:val="Compact"/>
              <w:spacing w:after="20" w:before="20"/>
              <w:jc w:val="left"/>
            </w:pPr>
            <w:r>
              <w:rPr>
                <w:sz w:val="18"/>
              </w:rPr>
              <w:t xml:space="preserve">Directeur (ou Direction) des Systèmes d'Information</w:t>
            </w:r>
          </w:p>
        </w:tc>
      </w:tr>
      <w:tr>
        <w:trPr>
          <w:cantSplit w:val="true"/>
        </w:trPr>
        <w:tc>
          <w:tcPr>
            <w:tcW w:w="1882" w:type="dxa"/>
            <w:shd w:val="clear" w:color="auto" w:fill="EEF2F6"/>
          </w:tcPr>
          <w:p>
            <w:pPr>
              <w:pStyle w:val="Compact"/>
              <w:spacing w:after="20" w:before="20"/>
              <w:jc w:val="left"/>
            </w:pPr>
            <w:r>
              <w:rPr>
                <w:sz w:val="18"/>
              </w:rPr>
              <w:t xml:space="preserve">IGO / IGT / IGS</w:t>
            </w:r>
          </w:p>
        </w:tc>
        <w:tc>
          <w:tcPr>
            <w:tcW w:w="7529" w:type="dxa"/>
            <w:shd w:val="clear" w:color="auto" w:fill="EEF2F6"/>
          </w:tcPr>
          <w:p>
            <w:pPr>
              <w:pStyle w:val="Compact"/>
              <w:spacing w:after="20" w:before="20"/>
              <w:jc w:val="left"/>
            </w:pPr>
            <w:r>
              <w:rPr>
                <w:sz w:val="18"/>
              </w:rPr>
              <w:t xml:space="preserve">Indicateurs de gestion opérationnelle / tactique / stratégique</w:t>
            </w:r>
          </w:p>
        </w:tc>
      </w:tr>
      <w:tr>
        <w:trPr>
          <w:cantSplit w:val="true"/>
        </w:trPr>
        <w:tc>
          <w:tcPr>
            <w:tcW w:w="1882" w:type="dxa"/>
          </w:tcPr>
          <w:p>
            <w:pPr>
              <w:pStyle w:val="Compact"/>
              <w:spacing w:after="20" w:before="20"/>
              <w:jc w:val="left"/>
            </w:pPr>
            <w:r>
              <w:rPr>
                <w:sz w:val="18"/>
              </w:rPr>
              <w:t xml:space="preserve">MBCO</w:t>
            </w:r>
          </w:p>
        </w:tc>
        <w:tc>
          <w:tcPr>
            <w:tcW w:w="7529" w:type="dxa"/>
          </w:tcPr>
          <w:p>
            <w:pPr>
              <w:pStyle w:val="Compact"/>
              <w:spacing w:after="20" w:before="20"/>
              <w:jc w:val="left"/>
            </w:pPr>
            <w:r>
              <w:rPr>
                <w:iCs/>
                <w:i/>
                <w:sz w:val="18"/>
              </w:rPr>
              <w:t xml:space="preserve">Minimum Business Continuity Objective</w:t>
            </w:r>
            <w:r>
              <w:rPr>
                <w:sz w:val="18"/>
              </w:rPr>
              <w:t xml:space="preserve"> </w:t>
            </w:r>
            <w:r>
              <w:rPr>
                <w:sz w:val="18"/>
              </w:rPr>
              <w:t xml:space="preserve">— niveau minimal d'activité à assurer pendant une perturbation</w:t>
            </w:r>
          </w:p>
        </w:tc>
      </w:tr>
      <w:tr>
        <w:trPr>
          <w:cantSplit w:val="true"/>
        </w:trPr>
        <w:tc>
          <w:tcPr>
            <w:tcW w:w="1882" w:type="dxa"/>
            <w:shd w:val="clear" w:color="auto" w:fill="EEF2F6"/>
          </w:tcPr>
          <w:p>
            <w:pPr>
              <w:pStyle w:val="Compact"/>
              <w:spacing w:after="20" w:before="20"/>
              <w:jc w:val="left"/>
            </w:pPr>
            <w:r>
              <w:rPr>
                <w:sz w:val="18"/>
              </w:rPr>
              <w:t xml:space="preserve">MÉT</w:t>
            </w:r>
          </w:p>
        </w:tc>
        <w:tc>
          <w:tcPr>
            <w:tcW w:w="7529" w:type="dxa"/>
            <w:shd w:val="clear" w:color="auto" w:fill="EEF2F6"/>
          </w:tcPr>
          <w:p>
            <w:pPr>
              <w:pStyle w:val="Compact"/>
              <w:spacing w:after="20" w:before="20"/>
              <w:jc w:val="left"/>
            </w:pPr>
            <w:r>
              <w:rPr>
                <w:sz w:val="18"/>
              </w:rPr>
              <w:t xml:space="preserve">Propriétaires métier</w:t>
            </w:r>
          </w:p>
        </w:tc>
      </w:tr>
      <w:tr>
        <w:trPr>
          <w:cantSplit w:val="true"/>
        </w:trPr>
        <w:tc>
          <w:tcPr>
            <w:tcW w:w="1882" w:type="dxa"/>
          </w:tcPr>
          <w:p>
            <w:pPr>
              <w:pStyle w:val="Compact"/>
              <w:spacing w:after="20" w:before="20"/>
              <w:jc w:val="left"/>
            </w:pPr>
            <w:r>
              <w:rPr>
                <w:sz w:val="18"/>
              </w:rPr>
              <w:t xml:space="preserve">MTPD</w:t>
            </w:r>
          </w:p>
        </w:tc>
        <w:tc>
          <w:tcPr>
            <w:tcW w:w="7529" w:type="dxa"/>
          </w:tcPr>
          <w:p>
            <w:pPr>
              <w:pStyle w:val="Compact"/>
              <w:spacing w:after="20" w:before="20"/>
              <w:jc w:val="left"/>
            </w:pPr>
            <w:r>
              <w:rPr>
                <w:iCs/>
                <w:i/>
                <w:sz w:val="18"/>
              </w:rPr>
              <w:t xml:space="preserve">Maximum Tolerable Period of Disruption</w:t>
            </w:r>
            <w:r>
              <w:rPr>
                <w:sz w:val="18"/>
              </w:rPr>
              <w:t xml:space="preserve"> </w:t>
            </w:r>
            <w:r>
              <w:rPr>
                <w:sz w:val="18"/>
              </w:rPr>
              <w:t xml:space="preserve">— durée d'interruption maximale tolérable</w:t>
            </w:r>
          </w:p>
        </w:tc>
      </w:tr>
      <w:tr>
        <w:trPr>
          <w:cantSplit w:val="true"/>
        </w:trPr>
        <w:tc>
          <w:tcPr>
            <w:tcW w:w="1882" w:type="dxa"/>
            <w:shd w:val="clear" w:color="auto" w:fill="EEF2F6"/>
          </w:tcPr>
          <w:p>
            <w:pPr>
              <w:pStyle w:val="Compact"/>
              <w:spacing w:after="20" w:before="20"/>
              <w:jc w:val="left"/>
            </w:pPr>
            <w:r>
              <w:rPr>
                <w:sz w:val="18"/>
              </w:rPr>
              <w:t xml:space="preserve">ILG / ILP</w:t>
            </w:r>
          </w:p>
        </w:tc>
        <w:tc>
          <w:tcPr>
            <w:tcW w:w="7529" w:type="dxa"/>
            <w:shd w:val="clear" w:color="auto" w:fill="EEF2F6"/>
          </w:tcPr>
          <w:p>
            <w:pPr>
              <w:pStyle w:val="Compact"/>
              <w:spacing w:after="20" w:before="20"/>
              <w:jc w:val="left"/>
            </w:pPr>
            <w:r>
              <w:rPr>
                <w:sz w:val="18"/>
              </w:rPr>
              <w:t xml:space="preserve">Indisponibilité Logique Globale / Partielle</w:t>
            </w:r>
          </w:p>
        </w:tc>
      </w:tr>
      <w:tr>
        <w:trPr>
          <w:cantSplit w:val="true"/>
        </w:trPr>
        <w:tc>
          <w:tcPr>
            <w:tcW w:w="1882" w:type="dxa"/>
          </w:tcPr>
          <w:p>
            <w:pPr>
              <w:pStyle w:val="Compact"/>
              <w:spacing w:after="20" w:before="20"/>
              <w:jc w:val="left"/>
            </w:pPr>
            <w:r>
              <w:rPr>
                <w:sz w:val="18"/>
              </w:rPr>
              <w:t xml:space="preserve">IPG / IPP</w:t>
            </w:r>
          </w:p>
        </w:tc>
        <w:tc>
          <w:tcPr>
            <w:tcW w:w="7529" w:type="dxa"/>
          </w:tcPr>
          <w:p>
            <w:pPr>
              <w:pStyle w:val="Compact"/>
              <w:spacing w:after="20" w:before="20"/>
              <w:jc w:val="left"/>
            </w:pPr>
            <w:r>
              <w:rPr>
                <w:sz w:val="18"/>
              </w:rPr>
              <w:t xml:space="preserve">Indisponibilité Physique Globale / Partielle</w:t>
            </w:r>
          </w:p>
        </w:tc>
      </w:tr>
      <w:tr>
        <w:trPr>
          <w:cantSplit w:val="true"/>
        </w:trPr>
        <w:tc>
          <w:tcPr>
            <w:tcW w:w="1882" w:type="dxa"/>
            <w:shd w:val="clear" w:color="auto" w:fill="EEF2F6"/>
          </w:tcPr>
          <w:p>
            <w:pPr>
              <w:pStyle w:val="Compact"/>
              <w:spacing w:after="20" w:before="20"/>
              <w:jc w:val="left"/>
            </w:pPr>
            <w:r>
              <w:rPr>
                <w:sz w:val="18"/>
              </w:rPr>
              <w:t xml:space="preserve">ITSM</w:t>
            </w:r>
          </w:p>
        </w:tc>
        <w:tc>
          <w:tcPr>
            <w:tcW w:w="7529" w:type="dxa"/>
            <w:shd w:val="clear" w:color="auto" w:fill="EEF2F6"/>
          </w:tcPr>
          <w:p>
            <w:pPr>
              <w:pStyle w:val="Compact"/>
              <w:spacing w:after="20" w:before="20"/>
              <w:jc w:val="left"/>
            </w:pPr>
            <w:r>
              <w:rPr>
                <w:sz w:val="18"/>
              </w:rPr>
              <w:t xml:space="preserve">Gestion des services informatiques</w:t>
            </w:r>
          </w:p>
        </w:tc>
      </w:tr>
      <w:tr>
        <w:trPr>
          <w:cantSplit w:val="true"/>
        </w:trPr>
        <w:tc>
          <w:tcPr>
            <w:tcW w:w="1882" w:type="dxa"/>
          </w:tcPr>
          <w:p>
            <w:pPr>
              <w:pStyle w:val="Compact"/>
              <w:spacing w:after="20" w:before="20"/>
              <w:jc w:val="left"/>
            </w:pPr>
            <w:r>
              <w:rPr>
                <w:sz w:val="18"/>
              </w:rPr>
              <w:t xml:space="preserve">MCO</w:t>
            </w:r>
          </w:p>
        </w:tc>
        <w:tc>
          <w:tcPr>
            <w:tcW w:w="7529" w:type="dxa"/>
          </w:tcPr>
          <w:p>
            <w:pPr>
              <w:pStyle w:val="Compact"/>
              <w:spacing w:after="20" w:before="20"/>
              <w:jc w:val="left"/>
            </w:pPr>
            <w:r>
              <w:rPr>
                <w:sz w:val="18"/>
              </w:rPr>
              <w:t xml:space="preserve">Maintien en condition opérationnelle</w:t>
            </w:r>
          </w:p>
        </w:tc>
      </w:tr>
      <w:tr>
        <w:trPr>
          <w:cantSplit w:val="true"/>
        </w:trPr>
        <w:tc>
          <w:tcPr>
            <w:tcW w:w="1882" w:type="dxa"/>
            <w:shd w:val="clear" w:color="auto" w:fill="EEF2F6"/>
          </w:tcPr>
          <w:p>
            <w:pPr>
              <w:pStyle w:val="Compact"/>
              <w:spacing w:after="20" w:before="20"/>
              <w:jc w:val="left"/>
            </w:pPr>
            <w:r>
              <w:rPr>
                <w:sz w:val="18"/>
              </w:rPr>
              <w:t xml:space="preserve">OGS / OSS</w:t>
            </w:r>
          </w:p>
        </w:tc>
        <w:tc>
          <w:tcPr>
            <w:tcW w:w="7529" w:type="dxa"/>
            <w:shd w:val="clear" w:color="auto" w:fill="EEF2F6"/>
          </w:tcPr>
          <w:p>
            <w:pPr>
              <w:pStyle w:val="Compact"/>
              <w:spacing w:after="20" w:before="20"/>
              <w:jc w:val="left"/>
            </w:pPr>
            <w:r>
              <w:rPr>
                <w:sz w:val="18"/>
              </w:rPr>
              <w:t xml:space="preserve">Offre Générale / Spécifique de Sauvegarde</w:t>
            </w:r>
          </w:p>
        </w:tc>
      </w:tr>
      <w:tr>
        <w:trPr>
          <w:cantSplit w:val="true"/>
        </w:trPr>
        <w:tc>
          <w:tcPr>
            <w:tcW w:w="1882" w:type="dxa"/>
          </w:tcPr>
          <w:p>
            <w:pPr>
              <w:pStyle w:val="Compact"/>
              <w:spacing w:after="20" w:before="20"/>
              <w:jc w:val="left"/>
            </w:pPr>
            <w:r>
              <w:rPr>
                <w:sz w:val="18"/>
              </w:rPr>
              <w:t xml:space="preserve">PAS</w:t>
            </w:r>
          </w:p>
        </w:tc>
        <w:tc>
          <w:tcPr>
            <w:tcW w:w="7529" w:type="dxa"/>
          </w:tcPr>
          <w:p>
            <w:pPr>
              <w:pStyle w:val="Compact"/>
              <w:spacing w:after="20" w:before="20"/>
              <w:jc w:val="left"/>
            </w:pPr>
            <w:r>
              <w:rPr>
                <w:sz w:val="18"/>
              </w:rPr>
              <w:t xml:space="preserve">Plan d'Assurance Sécurité</w:t>
            </w:r>
          </w:p>
        </w:tc>
      </w:tr>
      <w:tr>
        <w:trPr>
          <w:cantSplit w:val="true"/>
        </w:trPr>
        <w:tc>
          <w:tcPr>
            <w:tcW w:w="1882" w:type="dxa"/>
            <w:shd w:val="clear" w:color="auto" w:fill="EEF2F6"/>
          </w:tcPr>
          <w:p>
            <w:pPr>
              <w:pStyle w:val="Compact"/>
              <w:spacing w:after="20" w:before="20"/>
              <w:jc w:val="left"/>
            </w:pPr>
            <w:r>
              <w:rPr>
                <w:sz w:val="18"/>
              </w:rPr>
              <w:t xml:space="preserve">PCA / PCI</w:t>
            </w:r>
          </w:p>
        </w:tc>
        <w:tc>
          <w:tcPr>
            <w:tcW w:w="7529" w:type="dxa"/>
            <w:shd w:val="clear" w:color="auto" w:fill="EEF2F6"/>
          </w:tcPr>
          <w:p>
            <w:pPr>
              <w:pStyle w:val="Compact"/>
              <w:spacing w:after="20" w:before="20"/>
              <w:jc w:val="left"/>
            </w:pPr>
            <w:r>
              <w:rPr>
                <w:sz w:val="18"/>
              </w:rPr>
              <w:t xml:space="preserve">Plan de Continuité d'Activité / Informatique</w:t>
            </w:r>
          </w:p>
        </w:tc>
      </w:tr>
      <w:tr>
        <w:trPr>
          <w:cantSplit w:val="true"/>
        </w:trPr>
        <w:tc>
          <w:tcPr>
            <w:tcW w:w="1882" w:type="dxa"/>
          </w:tcPr>
          <w:p>
            <w:pPr>
              <w:pStyle w:val="Compact"/>
              <w:spacing w:after="20" w:before="20"/>
              <w:jc w:val="left"/>
            </w:pPr>
            <w:r>
              <w:rPr>
                <w:sz w:val="18"/>
              </w:rPr>
              <w:t xml:space="preserve">PDMA</w:t>
            </w:r>
          </w:p>
        </w:tc>
        <w:tc>
          <w:tcPr>
            <w:tcW w:w="7529" w:type="dxa"/>
          </w:tcPr>
          <w:p>
            <w:pPr>
              <w:pStyle w:val="Compact"/>
              <w:spacing w:after="20" w:before="20"/>
              <w:jc w:val="left"/>
            </w:pPr>
            <w:r>
              <w:rPr>
                <w:sz w:val="18"/>
              </w:rPr>
              <w:t xml:space="preserve">Perte de Données Maximale Admissible — dans ce document, engagement de point de restauration de la DSI (RPO informatique) ; voir §5.2</w:t>
            </w:r>
          </w:p>
        </w:tc>
      </w:tr>
      <w:tr>
        <w:trPr>
          <w:cantSplit w:val="true"/>
        </w:trPr>
        <w:tc>
          <w:tcPr>
            <w:tcW w:w="1882" w:type="dxa"/>
            <w:shd w:val="clear" w:color="auto" w:fill="EEF2F6"/>
          </w:tcPr>
          <w:p>
            <w:pPr>
              <w:pStyle w:val="Compact"/>
              <w:spacing w:after="20" w:before="20"/>
              <w:jc w:val="left"/>
            </w:pPr>
            <w:r>
              <w:rPr>
                <w:sz w:val="18"/>
              </w:rPr>
              <w:t xml:space="preserve">PRI</w:t>
            </w:r>
          </w:p>
        </w:tc>
        <w:tc>
          <w:tcPr>
            <w:tcW w:w="7529" w:type="dxa"/>
            <w:shd w:val="clear" w:color="auto" w:fill="EEF2F6"/>
          </w:tcPr>
          <w:p>
            <w:pPr>
              <w:pStyle w:val="Compact"/>
              <w:spacing w:after="20" w:before="20"/>
              <w:jc w:val="left"/>
            </w:pPr>
            <w:r>
              <w:rPr>
                <w:sz w:val="18"/>
              </w:rPr>
              <w:t xml:space="preserve">Plan (ou site) de Reprise Informatique</w:t>
            </w:r>
          </w:p>
        </w:tc>
      </w:tr>
      <w:tr>
        <w:trPr>
          <w:cantSplit w:val="true"/>
        </w:trPr>
        <w:tc>
          <w:tcPr>
            <w:tcW w:w="1882" w:type="dxa"/>
          </w:tcPr>
          <w:p>
            <w:pPr>
              <w:pStyle w:val="Compact"/>
              <w:spacing w:after="20" w:before="20"/>
              <w:jc w:val="left"/>
            </w:pPr>
            <w:r>
              <w:rPr>
                <w:sz w:val="18"/>
              </w:rPr>
              <w:t xml:space="preserve">PSSI</w:t>
            </w:r>
          </w:p>
        </w:tc>
        <w:tc>
          <w:tcPr>
            <w:tcW w:w="7529" w:type="dxa"/>
          </w:tcPr>
          <w:p>
            <w:pPr>
              <w:pStyle w:val="Compact"/>
              <w:spacing w:after="20" w:before="20"/>
              <w:jc w:val="left"/>
            </w:pPr>
            <w:r>
              <w:rPr>
                <w:sz w:val="18"/>
              </w:rPr>
              <w:t xml:space="preserve">Politique de Sécurité des Systèmes d'Information</w:t>
            </w:r>
          </w:p>
        </w:tc>
      </w:tr>
      <w:tr>
        <w:trPr>
          <w:cantSplit w:val="true"/>
        </w:trPr>
        <w:tc>
          <w:tcPr>
            <w:tcW w:w="1882" w:type="dxa"/>
            <w:shd w:val="clear" w:color="auto" w:fill="EEF2F6"/>
          </w:tcPr>
          <w:p>
            <w:pPr>
              <w:pStyle w:val="Compact"/>
              <w:spacing w:after="20" w:before="20"/>
              <w:jc w:val="left"/>
            </w:pPr>
            <w:r>
              <w:rPr>
                <w:sz w:val="18"/>
              </w:rPr>
              <w:t xml:space="preserve">RPCA / RPCI</w:t>
            </w:r>
          </w:p>
        </w:tc>
        <w:tc>
          <w:tcPr>
            <w:tcW w:w="7529" w:type="dxa"/>
            <w:shd w:val="clear" w:color="auto" w:fill="EEF2F6"/>
          </w:tcPr>
          <w:p>
            <w:pPr>
              <w:pStyle w:val="Compact"/>
              <w:spacing w:after="20" w:before="20"/>
              <w:jc w:val="left"/>
            </w:pPr>
            <w:r>
              <w:rPr>
                <w:sz w:val="18"/>
              </w:rPr>
              <w:t xml:space="preserve">Responsable du Plan de Continuité d'Activité / Informatique</w:t>
            </w:r>
          </w:p>
        </w:tc>
      </w:tr>
      <w:tr>
        <w:trPr>
          <w:cantSplit w:val="true"/>
        </w:trPr>
        <w:tc>
          <w:tcPr>
            <w:tcW w:w="1882" w:type="dxa"/>
          </w:tcPr>
          <w:p>
            <w:pPr>
              <w:pStyle w:val="Compact"/>
              <w:spacing w:after="20" w:before="20"/>
              <w:jc w:val="left"/>
            </w:pPr>
            <w:r>
              <w:rPr>
                <w:sz w:val="18"/>
              </w:rPr>
              <w:t xml:space="preserve">RPROD</w:t>
            </w:r>
          </w:p>
        </w:tc>
        <w:tc>
          <w:tcPr>
            <w:tcW w:w="7529" w:type="dxa"/>
          </w:tcPr>
          <w:p>
            <w:pPr>
              <w:pStyle w:val="Compact"/>
              <w:spacing w:after="20" w:before="20"/>
              <w:jc w:val="left"/>
            </w:pPr>
            <w:r>
              <w:rPr>
                <w:sz w:val="18"/>
              </w:rPr>
              <w:t xml:space="preserve">Responsable de Production</w:t>
            </w:r>
          </w:p>
        </w:tc>
      </w:tr>
      <w:tr>
        <w:trPr>
          <w:cantSplit w:val="true"/>
        </w:trPr>
        <w:tc>
          <w:tcPr>
            <w:tcW w:w="1882" w:type="dxa"/>
            <w:shd w:val="clear" w:color="auto" w:fill="EEF2F6"/>
          </w:tcPr>
          <w:p>
            <w:pPr>
              <w:pStyle w:val="Compact"/>
              <w:spacing w:after="20" w:before="20"/>
              <w:jc w:val="left"/>
            </w:pPr>
            <w:r>
              <w:rPr>
                <w:sz w:val="18"/>
              </w:rPr>
              <w:t xml:space="preserve">RSSI</w:t>
            </w:r>
          </w:p>
        </w:tc>
        <w:tc>
          <w:tcPr>
            <w:tcW w:w="7529" w:type="dxa"/>
            <w:shd w:val="clear" w:color="auto" w:fill="EEF2F6"/>
          </w:tcPr>
          <w:p>
            <w:pPr>
              <w:pStyle w:val="Compact"/>
              <w:spacing w:after="20" w:before="20"/>
              <w:jc w:val="left"/>
            </w:pPr>
            <w:r>
              <w:rPr>
                <w:sz w:val="18"/>
              </w:rPr>
              <w:t xml:space="preserve">Responsable de la Sécurité des Systèmes d'Information</w:t>
            </w:r>
          </w:p>
        </w:tc>
      </w:tr>
      <w:tr>
        <w:trPr>
          <w:cantSplit w:val="true"/>
        </w:trPr>
        <w:tc>
          <w:tcPr>
            <w:tcW w:w="1882" w:type="dxa"/>
          </w:tcPr>
          <w:p>
            <w:pPr>
              <w:pStyle w:val="Compact"/>
              <w:spacing w:after="20" w:before="20"/>
              <w:jc w:val="left"/>
            </w:pPr>
            <w:r>
              <w:rPr>
                <w:sz w:val="18"/>
              </w:rPr>
              <w:t xml:space="preserve">RTO / RPO</w:t>
            </w:r>
          </w:p>
        </w:tc>
        <w:tc>
          <w:tcPr>
            <w:tcW w:w="7529" w:type="dxa"/>
          </w:tcPr>
          <w:p>
            <w:pPr>
              <w:pStyle w:val="Compact"/>
              <w:spacing w:after="20" w:before="20"/>
              <w:jc w:val="left"/>
            </w:pPr>
            <w:r>
              <w:rPr>
                <w:iCs/>
                <w:i/>
                <w:sz w:val="18"/>
              </w:rPr>
              <w:t xml:space="preserve">Recovery Time Objective</w:t>
            </w:r>
            <w:r>
              <w:rPr>
                <w:sz w:val="18"/>
              </w:rPr>
              <w:t xml:space="preserve"> </w:t>
            </w:r>
            <w:r>
              <w:rPr>
                <w:sz w:val="18"/>
              </w:rPr>
              <w:t xml:space="preserve">/</w:t>
            </w:r>
            <w:r>
              <w:rPr>
                <w:sz w:val="18"/>
              </w:rPr>
              <w:t xml:space="preserve"> </w:t>
            </w:r>
            <w:r>
              <w:rPr>
                <w:iCs/>
                <w:i/>
                <w:sz w:val="18"/>
              </w:rPr>
              <w:t xml:space="preserve">Recovery Point Objective</w:t>
            </w:r>
            <w:r>
              <w:rPr>
                <w:sz w:val="18"/>
              </w:rPr>
              <w:t xml:space="preserve"> </w:t>
            </w:r>
            <w:r>
              <w:rPr>
                <w:sz w:val="18"/>
              </w:rPr>
              <w:t xml:space="preserve">— objectifs de délai et de point de reprise</w:t>
            </w:r>
          </w:p>
        </w:tc>
      </w:tr>
      <w:tr>
        <w:trPr>
          <w:cantSplit w:val="true"/>
        </w:trPr>
        <w:tc>
          <w:tcPr>
            <w:tcW w:w="1882" w:type="dxa"/>
            <w:shd w:val="clear" w:color="auto" w:fill="EEF2F6"/>
          </w:tcPr>
          <w:p>
            <w:pPr>
              <w:pStyle w:val="Compact"/>
              <w:spacing w:after="20" w:before="20"/>
              <w:jc w:val="left"/>
            </w:pPr>
            <w:r>
              <w:rPr>
                <w:sz w:val="18"/>
              </w:rPr>
              <w:t xml:space="preserve">WORM</w:t>
            </w:r>
          </w:p>
        </w:tc>
        <w:tc>
          <w:tcPr>
            <w:tcW w:w="7529" w:type="dxa"/>
            <w:shd w:val="clear" w:color="auto" w:fill="EEF2F6"/>
          </w:tcPr>
          <w:p>
            <w:pPr>
              <w:pStyle w:val="Compact"/>
              <w:spacing w:after="20" w:before="20"/>
              <w:jc w:val="left"/>
            </w:pPr>
            <w:r>
              <w:rPr>
                <w:iCs/>
                <w:i/>
                <w:sz w:val="18"/>
              </w:rPr>
              <w:t xml:space="preserve">Write Once, Read Many</w:t>
            </w:r>
            <w:r>
              <w:rPr>
                <w:sz w:val="18"/>
              </w:rPr>
              <w:t xml:space="preserve"> </w:t>
            </w:r>
            <w:r>
              <w:rPr>
                <w:sz w:val="18"/>
              </w:rPr>
              <w:t xml:space="preserve">— support ou mode d'écriture non modifiable</w:t>
            </w:r>
          </w:p>
        </w:tc>
      </w:tr>
    </w:tbl>
    <w:bookmarkEnd w:id="125"/>
    <w:bookmarkStart w:id="126" w:name="annexe-e-liste-de-contrôle-dadaptation"/>
    <w:p>
      <w:pPr>
        <w:pStyle w:val="Heading2"/>
      </w:pPr>
      <w:r>
        <w:t xml:space="preserve">Annexe E — Liste de contrôle d'adaptation</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438"/>
        <w:gridCol w:w="5619"/>
        <w:gridCol w:w="982"/>
        <w:gridCol w:w="1736"/>
        <w:gridCol w:w="636"/>
      </w:tblGrid>
      <w:tr>
        <w:trPr>
          <w:tblHeader w:val="true"/>
          <w:tblHeader w:val="true"/>
          <w:cantSplit w:val="true"/>
        </w:trPr>
        <w:tc>
          <w:tcPr>
            <w:tcW w:w="438" w:type="dxa"/>
            <w:shd w:val="clear" w:color="auto" w:fill="1F3A5F"/>
          </w:tcPr>
          <w:p>
            <w:pPr>
              <w:pStyle w:val="Compact"/>
              <w:spacing w:after="20" w:before="20"/>
              <w:jc w:val="left"/>
            </w:pPr>
            <w:r>
              <w:rPr>
                <w:b/>
                <w:color w:val="FFFFFF"/>
                <w:sz w:val="18"/>
              </w:rPr>
              <w:t xml:space="preserve">#</w:t>
            </w:r>
          </w:p>
        </w:tc>
        <w:tc>
          <w:tcPr>
            <w:tcW w:w="5619" w:type="dxa"/>
            <w:shd w:val="clear" w:color="auto" w:fill="1F3A5F"/>
          </w:tcPr>
          <w:p>
            <w:pPr>
              <w:pStyle w:val="Compact"/>
              <w:spacing w:after="20" w:before="20"/>
              <w:jc w:val="left"/>
            </w:pPr>
            <w:r>
              <w:rPr>
                <w:b/>
                <w:color w:val="FFFFFF"/>
                <w:sz w:val="18"/>
              </w:rPr>
              <w:t xml:space="preserve">Élément à produire ou arbitrer</w:t>
            </w:r>
          </w:p>
        </w:tc>
        <w:tc>
          <w:tcPr>
            <w:tcW w:w="982" w:type="dxa"/>
            <w:shd w:val="clear" w:color="auto" w:fill="1F3A5F"/>
          </w:tcPr>
          <w:p>
            <w:pPr>
              <w:pStyle w:val="Compact"/>
              <w:spacing w:after="20" w:before="20"/>
              <w:jc w:val="left"/>
            </w:pPr>
            <w:r>
              <w:rPr>
                <w:b/>
                <w:color w:val="FFFFFF"/>
                <w:sz w:val="18"/>
              </w:rPr>
              <w:t xml:space="preserve">Section</w:t>
            </w:r>
          </w:p>
        </w:tc>
        <w:tc>
          <w:tcPr>
            <w:tcW w:w="1736" w:type="dxa"/>
            <w:shd w:val="clear" w:color="auto" w:fill="1F3A5F"/>
          </w:tcPr>
          <w:p>
            <w:pPr>
              <w:pStyle w:val="Compact"/>
              <w:spacing w:after="20" w:before="20"/>
              <w:jc w:val="left"/>
            </w:pPr>
            <w:r>
              <w:rPr>
                <w:b/>
                <w:color w:val="FFFFFF"/>
                <w:sz w:val="18"/>
              </w:rPr>
              <w:t xml:space="preserve">Porteur suggéré</w:t>
            </w:r>
          </w:p>
        </w:tc>
        <w:tc>
          <w:tcPr>
            <w:tcW w:w="636" w:type="dxa"/>
            <w:shd w:val="clear" w:color="auto" w:fill="1F3A5F"/>
          </w:tcPr>
          <w:p>
            <w:pPr>
              <w:pStyle w:val="Compact"/>
              <w:spacing w:after="20" w:before="20"/>
              <w:jc w:val="left"/>
            </w:pPr>
            <w:r>
              <w:rPr>
                <w:b/>
                <w:color w:val="FFFFFF"/>
                <w:sz w:val="18"/>
              </w:rPr>
              <w:t xml:space="preserve">Fait</w:t>
            </w:r>
          </w:p>
        </w:tc>
      </w:tr>
      <w:tr>
        <w:trPr>
          <w:cantSplit w:val="true"/>
        </w:trPr>
        <w:tc>
          <w:tcPr>
            <w:tcW w:w="438" w:type="dxa"/>
          </w:tcPr>
          <w:p>
            <w:pPr>
              <w:pStyle w:val="Compact"/>
              <w:spacing w:after="20" w:before="20"/>
              <w:jc w:val="left"/>
            </w:pPr>
            <w:r>
              <w:rPr>
                <w:sz w:val="18"/>
              </w:rPr>
              <w:t xml:space="preserve">1</w:t>
            </w:r>
          </w:p>
        </w:tc>
        <w:tc>
          <w:tcPr>
            <w:tcW w:w="5619" w:type="dxa"/>
          </w:tcPr>
          <w:p>
            <w:pPr>
              <w:pStyle w:val="Compact"/>
              <w:spacing w:after="20" w:before="20"/>
              <w:jc w:val="left"/>
            </w:pPr>
            <w:r>
              <w:rPr>
                <w:sz w:val="18"/>
              </w:rPr>
              <w:t xml:space="preserve">Nommer le propriétaire de la stratégie et fixer l'échéance d'application</w:t>
            </w:r>
          </w:p>
        </w:tc>
        <w:tc>
          <w:tcPr>
            <w:tcW w:w="982" w:type="dxa"/>
          </w:tcPr>
          <w:p>
            <w:pPr>
              <w:pStyle w:val="Compact"/>
              <w:spacing w:after="20" w:before="20"/>
              <w:jc w:val="left"/>
            </w:pPr>
            <w:r>
              <w:rPr>
                <w:sz w:val="18"/>
              </w:rPr>
              <w:t xml:space="preserve">§3</w:t>
            </w:r>
          </w:p>
        </w:tc>
        <w:tc>
          <w:tcPr>
            <w:tcW w:w="1736" w:type="dxa"/>
          </w:tcPr>
          <w:p>
            <w:pPr>
              <w:pStyle w:val="Compact"/>
              <w:spacing w:after="20" w:before="20"/>
              <w:jc w:val="left"/>
            </w:pPr>
            <w:r>
              <w:rPr>
                <w:sz w:val="18"/>
              </w:rPr>
              <w:t xml:space="preserve">DSI</w:t>
            </w:r>
          </w:p>
        </w:tc>
        <w:tc>
          <w:tcPr>
            <w:tcW w:w="636" w:type="dxa"/>
          </w:tcPr>
          <w:p>
            <w:pPr>
              <w:pStyle w:val="Compact"/>
              <w:spacing w:after="20" w:before="20"/>
              <w:jc w:val="left"/>
            </w:pPr>
            <w:r>
              <w:rPr>
                <w:sz w:val="18"/>
              </w:rPr>
              <w:t xml:space="preserve">☐</w:t>
            </w:r>
          </w:p>
        </w:tc>
      </w:tr>
      <w:tr>
        <w:trPr>
          <w:cantSplit w:val="true"/>
        </w:trPr>
        <w:tc>
          <w:tcPr>
            <w:tcW w:w="438" w:type="dxa"/>
            <w:shd w:val="clear" w:color="auto" w:fill="EEF2F6"/>
          </w:tcPr>
          <w:p>
            <w:pPr>
              <w:pStyle w:val="Compact"/>
              <w:spacing w:after="20" w:before="20"/>
              <w:jc w:val="left"/>
            </w:pPr>
            <w:r>
              <w:rPr>
                <w:sz w:val="18"/>
              </w:rPr>
              <w:t xml:space="preserve">2</w:t>
            </w:r>
          </w:p>
        </w:tc>
        <w:tc>
          <w:tcPr>
            <w:tcW w:w="5619" w:type="dxa"/>
            <w:shd w:val="clear" w:color="auto" w:fill="EEF2F6"/>
          </w:tcPr>
          <w:p>
            <w:pPr>
              <w:pStyle w:val="Compact"/>
              <w:spacing w:after="20" w:before="20"/>
              <w:jc w:val="left"/>
            </w:pPr>
            <w:r>
              <w:rPr>
                <w:sz w:val="18"/>
              </w:rPr>
              <w:t xml:space="preserve">Table de correspondance avec la PSSI</w:t>
            </w:r>
          </w:p>
        </w:tc>
        <w:tc>
          <w:tcPr>
            <w:tcW w:w="982" w:type="dxa"/>
            <w:shd w:val="clear" w:color="auto" w:fill="EEF2F6"/>
          </w:tcPr>
          <w:p>
            <w:pPr>
              <w:pStyle w:val="Compact"/>
              <w:spacing w:after="20" w:before="20"/>
              <w:jc w:val="left"/>
            </w:pPr>
            <w:r>
              <w:rPr>
                <w:sz w:val="18"/>
              </w:rPr>
              <w:t xml:space="preserve">§4.3</w:t>
            </w:r>
          </w:p>
        </w:tc>
        <w:tc>
          <w:tcPr>
            <w:tcW w:w="1736" w:type="dxa"/>
            <w:shd w:val="clear" w:color="auto" w:fill="EEF2F6"/>
          </w:tcPr>
          <w:p>
            <w:pPr>
              <w:pStyle w:val="Compact"/>
              <w:spacing w:after="20" w:before="20"/>
              <w:jc w:val="left"/>
            </w:pPr>
            <w:r>
              <w:rPr>
                <w:sz w:val="18"/>
              </w:rPr>
              <w:t xml:space="preserve">RSSI</w:t>
            </w:r>
          </w:p>
        </w:tc>
        <w:tc>
          <w:tcPr>
            <w:tcW w:w="636" w:type="dxa"/>
            <w:shd w:val="clear" w:color="auto" w:fill="EEF2F6"/>
          </w:tcPr>
          <w:p>
            <w:pPr>
              <w:pStyle w:val="Compact"/>
              <w:spacing w:after="20" w:before="20"/>
              <w:jc w:val="left"/>
            </w:pPr>
            <w:r>
              <w:rPr>
                <w:sz w:val="18"/>
              </w:rPr>
              <w:t xml:space="preserve">☐</w:t>
            </w:r>
          </w:p>
        </w:tc>
      </w:tr>
      <w:tr>
        <w:trPr>
          <w:cantSplit w:val="true"/>
        </w:trPr>
        <w:tc>
          <w:tcPr>
            <w:tcW w:w="438" w:type="dxa"/>
          </w:tcPr>
          <w:p>
            <w:pPr>
              <w:pStyle w:val="Compact"/>
              <w:spacing w:after="20" w:before="20"/>
              <w:jc w:val="left"/>
            </w:pPr>
            <w:r>
              <w:rPr>
                <w:sz w:val="18"/>
              </w:rPr>
              <w:t xml:space="preserve">3</w:t>
            </w:r>
          </w:p>
        </w:tc>
        <w:tc>
          <w:tcPr>
            <w:tcW w:w="5619" w:type="dxa"/>
          </w:tcPr>
          <w:p>
            <w:pPr>
              <w:pStyle w:val="Compact"/>
              <w:spacing w:after="20" w:before="20"/>
              <w:jc w:val="left"/>
            </w:pPr>
            <w:r>
              <w:rPr>
                <w:sz w:val="18"/>
              </w:rPr>
              <w:t xml:space="preserve">Nombre et liste des environnements fonctionnels</w:t>
            </w:r>
          </w:p>
        </w:tc>
        <w:tc>
          <w:tcPr>
            <w:tcW w:w="982" w:type="dxa"/>
          </w:tcPr>
          <w:p>
            <w:pPr>
              <w:pStyle w:val="Compact"/>
              <w:spacing w:after="20" w:before="20"/>
              <w:jc w:val="left"/>
            </w:pPr>
            <w:r>
              <w:rPr>
                <w:sz w:val="18"/>
              </w:rPr>
              <w:t xml:space="preserve">§5.8</w:t>
            </w:r>
          </w:p>
        </w:tc>
        <w:tc>
          <w:tcPr>
            <w:tcW w:w="1736" w:type="dxa"/>
          </w:tcPr>
          <w:p>
            <w:pPr>
              <w:pStyle w:val="Compact"/>
              <w:spacing w:after="20" w:before="20"/>
              <w:jc w:val="left"/>
            </w:pPr>
            <w:r>
              <w:rPr>
                <w:sz w:val="18"/>
              </w:rPr>
              <w:t xml:space="preserve">RPROD</w:t>
            </w:r>
          </w:p>
        </w:tc>
        <w:tc>
          <w:tcPr>
            <w:tcW w:w="636" w:type="dxa"/>
          </w:tcPr>
          <w:p>
            <w:pPr>
              <w:pStyle w:val="Compact"/>
              <w:spacing w:after="20" w:before="20"/>
              <w:jc w:val="left"/>
            </w:pPr>
            <w:r>
              <w:rPr>
                <w:sz w:val="18"/>
              </w:rPr>
              <w:t xml:space="preserve">☐</w:t>
            </w:r>
          </w:p>
        </w:tc>
      </w:tr>
      <w:tr>
        <w:trPr>
          <w:cantSplit w:val="true"/>
        </w:trPr>
        <w:tc>
          <w:tcPr>
            <w:tcW w:w="438" w:type="dxa"/>
            <w:shd w:val="clear" w:color="auto" w:fill="EEF2F6"/>
          </w:tcPr>
          <w:p>
            <w:pPr>
              <w:pStyle w:val="Compact"/>
              <w:spacing w:after="20" w:before="20"/>
              <w:jc w:val="left"/>
            </w:pPr>
            <w:r>
              <w:rPr>
                <w:sz w:val="18"/>
              </w:rPr>
              <w:t xml:space="preserve">4</w:t>
            </w:r>
          </w:p>
        </w:tc>
        <w:tc>
          <w:tcPr>
            <w:tcW w:w="5619" w:type="dxa"/>
            <w:shd w:val="clear" w:color="auto" w:fill="EEF2F6"/>
          </w:tcPr>
          <w:p>
            <w:pPr>
              <w:pStyle w:val="Compact"/>
              <w:spacing w:after="20" w:before="20"/>
              <w:jc w:val="left"/>
            </w:pPr>
            <w:r>
              <w:rPr>
                <w:sz w:val="18"/>
              </w:rPr>
              <w:t xml:space="preserve">Dispositif de sanctuarisation retenu</w:t>
            </w:r>
          </w:p>
        </w:tc>
        <w:tc>
          <w:tcPr>
            <w:tcW w:w="982" w:type="dxa"/>
            <w:shd w:val="clear" w:color="auto" w:fill="EEF2F6"/>
          </w:tcPr>
          <w:p>
            <w:pPr>
              <w:pStyle w:val="Compact"/>
              <w:spacing w:after="20" w:before="20"/>
              <w:jc w:val="left"/>
            </w:pPr>
            <w:r>
              <w:rPr>
                <w:sz w:val="18"/>
              </w:rPr>
              <w:t xml:space="preserve">§5.14</w:t>
            </w:r>
          </w:p>
        </w:tc>
        <w:tc>
          <w:tcPr>
            <w:tcW w:w="1736" w:type="dxa"/>
            <w:shd w:val="clear" w:color="auto" w:fill="EEF2F6"/>
          </w:tcPr>
          <w:p>
            <w:pPr>
              <w:pStyle w:val="Compact"/>
              <w:spacing w:after="20" w:before="20"/>
              <w:jc w:val="left"/>
            </w:pPr>
            <w:r>
              <w:rPr>
                <w:sz w:val="18"/>
              </w:rPr>
              <w:t xml:space="preserve">DIO</w:t>
            </w:r>
          </w:p>
        </w:tc>
        <w:tc>
          <w:tcPr>
            <w:tcW w:w="636" w:type="dxa"/>
            <w:shd w:val="clear" w:color="auto" w:fill="EEF2F6"/>
          </w:tcPr>
          <w:p>
            <w:pPr>
              <w:pStyle w:val="Compact"/>
              <w:spacing w:after="20" w:before="20"/>
              <w:jc w:val="left"/>
            </w:pPr>
            <w:r>
              <w:rPr>
                <w:sz w:val="18"/>
              </w:rPr>
              <w:t xml:space="preserve">☐</w:t>
            </w:r>
          </w:p>
        </w:tc>
      </w:tr>
      <w:tr>
        <w:trPr>
          <w:cantSplit w:val="true"/>
        </w:trPr>
        <w:tc>
          <w:tcPr>
            <w:tcW w:w="438" w:type="dxa"/>
          </w:tcPr>
          <w:p>
            <w:pPr>
              <w:pStyle w:val="Compact"/>
              <w:spacing w:after="20" w:before="20"/>
              <w:jc w:val="left"/>
            </w:pPr>
            <w:r>
              <w:rPr>
                <w:sz w:val="18"/>
              </w:rPr>
              <w:t xml:space="preserve">5</w:t>
            </w:r>
          </w:p>
        </w:tc>
        <w:tc>
          <w:tcPr>
            <w:tcW w:w="5619" w:type="dxa"/>
          </w:tcPr>
          <w:p>
            <w:pPr>
              <w:pStyle w:val="Compact"/>
              <w:spacing w:after="20" w:before="20"/>
              <w:jc w:val="left"/>
            </w:pPr>
            <w:r>
              <w:rPr>
                <w:sz w:val="18"/>
              </w:rPr>
              <w:t xml:space="preserve">Durées de rétention compatibles avec le registre des traitements</w:t>
            </w:r>
          </w:p>
        </w:tc>
        <w:tc>
          <w:tcPr>
            <w:tcW w:w="982" w:type="dxa"/>
          </w:tcPr>
          <w:p>
            <w:pPr>
              <w:pStyle w:val="Compact"/>
              <w:spacing w:after="20" w:before="20"/>
              <w:jc w:val="left"/>
            </w:pPr>
            <w:r>
              <w:rPr>
                <w:sz w:val="18"/>
              </w:rPr>
              <w:t xml:space="preserve">§5.13</w:t>
            </w:r>
          </w:p>
        </w:tc>
        <w:tc>
          <w:tcPr>
            <w:tcW w:w="1736" w:type="dxa"/>
          </w:tcPr>
          <w:p>
            <w:pPr>
              <w:pStyle w:val="Compact"/>
              <w:spacing w:after="20" w:before="20"/>
              <w:jc w:val="left"/>
            </w:pPr>
            <w:r>
              <w:rPr>
                <w:sz w:val="18"/>
              </w:rPr>
              <w:t xml:space="preserve">DPO</w:t>
            </w:r>
          </w:p>
        </w:tc>
        <w:tc>
          <w:tcPr>
            <w:tcW w:w="636" w:type="dxa"/>
          </w:tcPr>
          <w:p>
            <w:pPr>
              <w:pStyle w:val="Compact"/>
              <w:spacing w:after="20" w:before="20"/>
              <w:jc w:val="left"/>
            </w:pPr>
            <w:r>
              <w:rPr>
                <w:sz w:val="18"/>
              </w:rPr>
              <w:t xml:space="preserve">☐</w:t>
            </w:r>
          </w:p>
        </w:tc>
      </w:tr>
      <w:tr>
        <w:trPr>
          <w:cantSplit w:val="true"/>
        </w:trPr>
        <w:tc>
          <w:tcPr>
            <w:tcW w:w="438" w:type="dxa"/>
            <w:shd w:val="clear" w:color="auto" w:fill="EEF2F6"/>
          </w:tcPr>
          <w:p>
            <w:pPr>
              <w:pStyle w:val="Compact"/>
              <w:spacing w:after="20" w:before="20"/>
              <w:jc w:val="left"/>
            </w:pPr>
            <w:r>
              <w:rPr>
                <w:sz w:val="18"/>
              </w:rPr>
              <w:t xml:space="preserve">6</w:t>
            </w:r>
          </w:p>
        </w:tc>
        <w:tc>
          <w:tcPr>
            <w:tcW w:w="5619" w:type="dxa"/>
            <w:shd w:val="clear" w:color="auto" w:fill="EEF2F6"/>
          </w:tcPr>
          <w:p>
            <w:pPr>
              <w:pStyle w:val="Compact"/>
              <w:spacing w:after="20" w:before="20"/>
              <w:jc w:val="left"/>
            </w:pPr>
            <w:r>
              <w:rPr>
                <w:sz w:val="18"/>
              </w:rPr>
              <w:t xml:space="preserve">Inventaire SaaS / cloud et solution de sauvegarde associée</w:t>
            </w:r>
          </w:p>
        </w:tc>
        <w:tc>
          <w:tcPr>
            <w:tcW w:w="982" w:type="dxa"/>
            <w:shd w:val="clear" w:color="auto" w:fill="EEF2F6"/>
          </w:tcPr>
          <w:p>
            <w:pPr>
              <w:pStyle w:val="Compact"/>
              <w:spacing w:after="20" w:before="20"/>
              <w:jc w:val="left"/>
            </w:pPr>
            <w:r>
              <w:rPr>
                <w:sz w:val="18"/>
              </w:rPr>
              <w:t xml:space="preserve">§6.2.6</w:t>
            </w:r>
          </w:p>
        </w:tc>
        <w:tc>
          <w:tcPr>
            <w:tcW w:w="1736" w:type="dxa"/>
            <w:shd w:val="clear" w:color="auto" w:fill="EEF2F6"/>
          </w:tcPr>
          <w:p>
            <w:pPr>
              <w:pStyle w:val="Compact"/>
              <w:spacing w:after="20" w:before="20"/>
              <w:jc w:val="left"/>
            </w:pPr>
            <w:r>
              <w:rPr>
                <w:sz w:val="18"/>
              </w:rPr>
              <w:t xml:space="preserve">DARCH</w:t>
            </w:r>
          </w:p>
        </w:tc>
        <w:tc>
          <w:tcPr>
            <w:tcW w:w="636" w:type="dxa"/>
            <w:shd w:val="clear" w:color="auto" w:fill="EEF2F6"/>
          </w:tcPr>
          <w:p>
            <w:pPr>
              <w:pStyle w:val="Compact"/>
              <w:spacing w:after="20" w:before="20"/>
              <w:jc w:val="left"/>
            </w:pPr>
            <w:r>
              <w:rPr>
                <w:sz w:val="18"/>
              </w:rPr>
              <w:t xml:space="preserve">☐</w:t>
            </w:r>
          </w:p>
        </w:tc>
      </w:tr>
      <w:tr>
        <w:trPr>
          <w:cantSplit w:val="true"/>
        </w:trPr>
        <w:tc>
          <w:tcPr>
            <w:tcW w:w="438" w:type="dxa"/>
          </w:tcPr>
          <w:p>
            <w:pPr>
              <w:pStyle w:val="Compact"/>
              <w:spacing w:after="20" w:before="20"/>
              <w:jc w:val="left"/>
            </w:pPr>
            <w:r>
              <w:rPr>
                <w:sz w:val="18"/>
              </w:rPr>
              <w:t xml:space="preserve">7</w:t>
            </w:r>
          </w:p>
        </w:tc>
        <w:tc>
          <w:tcPr>
            <w:tcW w:w="5619" w:type="dxa"/>
          </w:tcPr>
          <w:p>
            <w:pPr>
              <w:pStyle w:val="Compact"/>
              <w:spacing w:after="20" w:before="20"/>
              <w:jc w:val="left"/>
            </w:pPr>
            <w:r>
              <w:rPr>
                <w:sz w:val="18"/>
              </w:rPr>
              <w:t xml:space="preserve">Rattachement de la comitologie aux instances existantes</w:t>
            </w:r>
          </w:p>
        </w:tc>
        <w:tc>
          <w:tcPr>
            <w:tcW w:w="982" w:type="dxa"/>
          </w:tcPr>
          <w:p>
            <w:pPr>
              <w:pStyle w:val="Compact"/>
              <w:spacing w:after="20" w:before="20"/>
              <w:jc w:val="left"/>
            </w:pPr>
            <w:r>
              <w:rPr>
                <w:sz w:val="18"/>
              </w:rPr>
              <w:t xml:space="preserve">§7.3</w:t>
            </w:r>
          </w:p>
        </w:tc>
        <w:tc>
          <w:tcPr>
            <w:tcW w:w="1736" w:type="dxa"/>
          </w:tcPr>
          <w:p>
            <w:pPr>
              <w:pStyle w:val="Compact"/>
              <w:spacing w:after="20" w:before="20"/>
              <w:jc w:val="left"/>
            </w:pPr>
            <w:r>
              <w:rPr>
                <w:sz w:val="18"/>
              </w:rPr>
              <w:t xml:space="preserve">RPCI</w:t>
            </w:r>
          </w:p>
        </w:tc>
        <w:tc>
          <w:tcPr>
            <w:tcW w:w="636" w:type="dxa"/>
          </w:tcPr>
          <w:p>
            <w:pPr>
              <w:pStyle w:val="Compact"/>
              <w:spacing w:after="20" w:before="20"/>
              <w:jc w:val="left"/>
            </w:pPr>
            <w:r>
              <w:rPr>
                <w:sz w:val="18"/>
              </w:rPr>
              <w:t xml:space="preserve">☐</w:t>
            </w:r>
          </w:p>
        </w:tc>
      </w:tr>
      <w:tr>
        <w:trPr>
          <w:cantSplit w:val="true"/>
        </w:trPr>
        <w:tc>
          <w:tcPr>
            <w:tcW w:w="438" w:type="dxa"/>
            <w:shd w:val="clear" w:color="auto" w:fill="EEF2F6"/>
          </w:tcPr>
          <w:p>
            <w:pPr>
              <w:pStyle w:val="Compact"/>
              <w:spacing w:after="20" w:before="20"/>
              <w:jc w:val="left"/>
            </w:pPr>
            <w:r>
              <w:rPr>
                <w:sz w:val="18"/>
              </w:rPr>
              <w:t xml:space="preserve">8</w:t>
            </w:r>
          </w:p>
        </w:tc>
        <w:tc>
          <w:tcPr>
            <w:tcW w:w="5619" w:type="dxa"/>
            <w:shd w:val="clear" w:color="auto" w:fill="EEF2F6"/>
          </w:tcPr>
          <w:p>
            <w:pPr>
              <w:pStyle w:val="Compact"/>
              <w:spacing w:after="20" w:before="20"/>
              <w:jc w:val="left"/>
            </w:pPr>
            <w:r>
              <w:rPr>
                <w:sz w:val="18"/>
              </w:rPr>
              <w:t xml:space="preserve">Schéma d'architecture et rôle de chaque site</w:t>
            </w:r>
          </w:p>
        </w:tc>
        <w:tc>
          <w:tcPr>
            <w:tcW w:w="982" w:type="dxa"/>
            <w:shd w:val="clear" w:color="auto" w:fill="EEF2F6"/>
          </w:tcPr>
          <w:p>
            <w:pPr>
              <w:pStyle w:val="Compact"/>
              <w:spacing w:after="20" w:before="20"/>
              <w:jc w:val="left"/>
            </w:pPr>
            <w:r>
              <w:rPr>
                <w:sz w:val="18"/>
              </w:rPr>
              <w:t xml:space="preserve">§8.1</w:t>
            </w:r>
          </w:p>
        </w:tc>
        <w:tc>
          <w:tcPr>
            <w:tcW w:w="1736" w:type="dxa"/>
            <w:shd w:val="clear" w:color="auto" w:fill="EEF2F6"/>
          </w:tcPr>
          <w:p>
            <w:pPr>
              <w:pStyle w:val="Compact"/>
              <w:spacing w:after="20" w:before="20"/>
              <w:jc w:val="left"/>
            </w:pPr>
            <w:r>
              <w:rPr>
                <w:sz w:val="18"/>
              </w:rPr>
              <w:t xml:space="preserve">DARCH</w:t>
            </w:r>
          </w:p>
        </w:tc>
        <w:tc>
          <w:tcPr>
            <w:tcW w:w="636" w:type="dxa"/>
            <w:shd w:val="clear" w:color="auto" w:fill="EEF2F6"/>
          </w:tcPr>
          <w:p>
            <w:pPr>
              <w:pStyle w:val="Compact"/>
              <w:spacing w:after="20" w:before="20"/>
              <w:jc w:val="left"/>
            </w:pPr>
            <w:r>
              <w:rPr>
                <w:sz w:val="18"/>
              </w:rPr>
              <w:t xml:space="preserve">☐</w:t>
            </w:r>
          </w:p>
        </w:tc>
      </w:tr>
      <w:tr>
        <w:trPr>
          <w:cantSplit w:val="true"/>
        </w:trPr>
        <w:tc>
          <w:tcPr>
            <w:tcW w:w="438" w:type="dxa"/>
          </w:tcPr>
          <w:p>
            <w:pPr>
              <w:pStyle w:val="Compact"/>
              <w:spacing w:after="20" w:before="20"/>
              <w:jc w:val="left"/>
            </w:pPr>
            <w:r>
              <w:rPr>
                <w:sz w:val="18"/>
              </w:rPr>
              <w:t xml:space="preserve">9</w:t>
            </w:r>
          </w:p>
        </w:tc>
        <w:tc>
          <w:tcPr>
            <w:tcW w:w="5619" w:type="dxa"/>
          </w:tcPr>
          <w:p>
            <w:pPr>
              <w:pStyle w:val="Compact"/>
              <w:spacing w:after="20" w:before="20"/>
              <w:jc w:val="left"/>
            </w:pPr>
            <w:r>
              <w:rPr>
                <w:sz w:val="18"/>
              </w:rPr>
              <w:t xml:space="preserve">Solution d'hébergement de repli pour l'IPG</w:t>
            </w:r>
          </w:p>
        </w:tc>
        <w:tc>
          <w:tcPr>
            <w:tcW w:w="982" w:type="dxa"/>
          </w:tcPr>
          <w:p>
            <w:pPr>
              <w:pStyle w:val="Compact"/>
              <w:spacing w:after="20" w:before="20"/>
              <w:jc w:val="left"/>
            </w:pPr>
            <w:r>
              <w:rPr>
                <w:sz w:val="18"/>
              </w:rPr>
              <w:t xml:space="preserve">§8.2</w:t>
            </w:r>
          </w:p>
        </w:tc>
        <w:tc>
          <w:tcPr>
            <w:tcW w:w="1736" w:type="dxa"/>
          </w:tcPr>
          <w:p>
            <w:pPr>
              <w:pStyle w:val="Compact"/>
              <w:spacing w:after="20" w:before="20"/>
              <w:jc w:val="left"/>
            </w:pPr>
            <w:r>
              <w:rPr>
                <w:sz w:val="18"/>
              </w:rPr>
              <w:t xml:space="preserve">DIO</w:t>
            </w:r>
          </w:p>
        </w:tc>
        <w:tc>
          <w:tcPr>
            <w:tcW w:w="636" w:type="dxa"/>
          </w:tcPr>
          <w:p>
            <w:pPr>
              <w:pStyle w:val="Compact"/>
              <w:spacing w:after="20" w:before="20"/>
              <w:jc w:val="left"/>
            </w:pPr>
            <w:r>
              <w:rPr>
                <w:sz w:val="18"/>
              </w:rPr>
              <w:t xml:space="preserve">☐</w:t>
            </w:r>
          </w:p>
        </w:tc>
      </w:tr>
      <w:tr>
        <w:trPr>
          <w:cantSplit w:val="true"/>
        </w:trPr>
        <w:tc>
          <w:tcPr>
            <w:tcW w:w="438" w:type="dxa"/>
            <w:shd w:val="clear" w:color="auto" w:fill="EEF2F6"/>
          </w:tcPr>
          <w:p>
            <w:pPr>
              <w:pStyle w:val="Compact"/>
              <w:spacing w:after="20" w:before="20"/>
              <w:jc w:val="left"/>
            </w:pPr>
            <w:r>
              <w:rPr>
                <w:sz w:val="18"/>
              </w:rPr>
              <w:t xml:space="preserve">10</w:t>
            </w:r>
          </w:p>
        </w:tc>
        <w:tc>
          <w:tcPr>
            <w:tcW w:w="5619" w:type="dxa"/>
            <w:shd w:val="clear" w:color="auto" w:fill="EEF2F6"/>
          </w:tcPr>
          <w:p>
            <w:pPr>
              <w:pStyle w:val="Compact"/>
              <w:spacing w:after="20" w:before="20"/>
              <w:jc w:val="left"/>
            </w:pPr>
            <w:r>
              <w:rPr>
                <w:sz w:val="18"/>
              </w:rPr>
              <w:t xml:space="preserve">Tableaux de gravité, probabilité et criticité (actuel et cible)</w:t>
            </w:r>
          </w:p>
        </w:tc>
        <w:tc>
          <w:tcPr>
            <w:tcW w:w="982" w:type="dxa"/>
            <w:shd w:val="clear" w:color="auto" w:fill="EEF2F6"/>
          </w:tcPr>
          <w:p>
            <w:pPr>
              <w:pStyle w:val="Compact"/>
              <w:spacing w:after="20" w:before="20"/>
              <w:jc w:val="left"/>
            </w:pPr>
            <w:r>
              <w:rPr>
                <w:sz w:val="18"/>
              </w:rPr>
              <w:t xml:space="preserve">§8.7</w:t>
            </w:r>
          </w:p>
        </w:tc>
        <w:tc>
          <w:tcPr>
            <w:tcW w:w="1736" w:type="dxa"/>
            <w:shd w:val="clear" w:color="auto" w:fill="EEF2F6"/>
          </w:tcPr>
          <w:p>
            <w:pPr>
              <w:pStyle w:val="Compact"/>
              <w:spacing w:after="20" w:before="20"/>
              <w:jc w:val="left"/>
            </w:pPr>
            <w:r>
              <w:rPr>
                <w:sz w:val="18"/>
              </w:rPr>
              <w:t xml:space="preserve">RPCI</w:t>
            </w:r>
          </w:p>
        </w:tc>
        <w:tc>
          <w:tcPr>
            <w:tcW w:w="636" w:type="dxa"/>
            <w:shd w:val="clear" w:color="auto" w:fill="EEF2F6"/>
          </w:tcPr>
          <w:p>
            <w:pPr>
              <w:pStyle w:val="Compact"/>
              <w:spacing w:after="20" w:before="20"/>
              <w:jc w:val="left"/>
            </w:pPr>
            <w:r>
              <w:rPr>
                <w:sz w:val="18"/>
              </w:rPr>
              <w:t xml:space="preserve">☐</w:t>
            </w:r>
          </w:p>
        </w:tc>
      </w:tr>
      <w:tr>
        <w:trPr>
          <w:cantSplit w:val="true"/>
        </w:trPr>
        <w:tc>
          <w:tcPr>
            <w:tcW w:w="438" w:type="dxa"/>
          </w:tcPr>
          <w:p>
            <w:pPr>
              <w:pStyle w:val="Compact"/>
              <w:spacing w:after="20" w:before="20"/>
              <w:jc w:val="left"/>
            </w:pPr>
            <w:r>
              <w:rPr>
                <w:sz w:val="18"/>
              </w:rPr>
              <w:t xml:space="preserve">11</w:t>
            </w:r>
          </w:p>
        </w:tc>
        <w:tc>
          <w:tcPr>
            <w:tcW w:w="5619" w:type="dxa"/>
          </w:tcPr>
          <w:p>
            <w:pPr>
              <w:pStyle w:val="Compact"/>
              <w:spacing w:after="20" w:before="20"/>
              <w:jc w:val="left"/>
            </w:pPr>
            <w:r>
              <w:rPr>
                <w:sz w:val="18"/>
              </w:rPr>
              <w:t xml:space="preserve">Liste des prestations sous PAS</w:t>
            </w:r>
          </w:p>
        </w:tc>
        <w:tc>
          <w:tcPr>
            <w:tcW w:w="982" w:type="dxa"/>
          </w:tcPr>
          <w:p>
            <w:pPr>
              <w:pStyle w:val="Compact"/>
              <w:spacing w:after="20" w:before="20"/>
              <w:jc w:val="left"/>
            </w:pPr>
            <w:r>
              <w:rPr>
                <w:sz w:val="18"/>
              </w:rPr>
              <w:t xml:space="preserve">§8.8.2</w:t>
            </w:r>
          </w:p>
        </w:tc>
        <w:tc>
          <w:tcPr>
            <w:tcW w:w="1736" w:type="dxa"/>
          </w:tcPr>
          <w:p>
            <w:pPr>
              <w:pStyle w:val="Compact"/>
              <w:spacing w:after="20" w:before="20"/>
              <w:jc w:val="left"/>
            </w:pPr>
            <w:r>
              <w:rPr>
                <w:sz w:val="18"/>
              </w:rPr>
              <w:t xml:space="preserve">Achats / RSSI</w:t>
            </w:r>
          </w:p>
        </w:tc>
        <w:tc>
          <w:tcPr>
            <w:tcW w:w="636" w:type="dxa"/>
          </w:tcPr>
          <w:p>
            <w:pPr>
              <w:pStyle w:val="Compact"/>
              <w:spacing w:after="20" w:before="20"/>
              <w:jc w:val="left"/>
            </w:pPr>
            <w:r>
              <w:rPr>
                <w:sz w:val="18"/>
              </w:rPr>
              <w:t xml:space="preserve">☐</w:t>
            </w:r>
          </w:p>
        </w:tc>
      </w:tr>
      <w:tr>
        <w:trPr>
          <w:cantSplit w:val="true"/>
        </w:trPr>
        <w:tc>
          <w:tcPr>
            <w:tcW w:w="438" w:type="dxa"/>
            <w:shd w:val="clear" w:color="auto" w:fill="EEF2F6"/>
          </w:tcPr>
          <w:p>
            <w:pPr>
              <w:pStyle w:val="Compact"/>
              <w:spacing w:after="20" w:before="20"/>
              <w:jc w:val="left"/>
            </w:pPr>
            <w:r>
              <w:rPr>
                <w:sz w:val="18"/>
              </w:rPr>
              <w:t xml:space="preserve">12</w:t>
            </w:r>
          </w:p>
        </w:tc>
        <w:tc>
          <w:tcPr>
            <w:tcW w:w="5619" w:type="dxa"/>
            <w:shd w:val="clear" w:color="auto" w:fill="EEF2F6"/>
          </w:tcPr>
          <w:p>
            <w:pPr>
              <w:pStyle w:val="Compact"/>
              <w:spacing w:after="20" w:before="20"/>
              <w:jc w:val="left"/>
            </w:pPr>
            <w:r>
              <w:rPr>
                <w:sz w:val="18"/>
              </w:rPr>
              <w:t xml:space="preserve">Validation métier des engagements DMIA / PDMA, dont ILG cyber et IPG</w:t>
            </w:r>
          </w:p>
        </w:tc>
        <w:tc>
          <w:tcPr>
            <w:tcW w:w="982" w:type="dxa"/>
            <w:shd w:val="clear" w:color="auto" w:fill="EEF2F6"/>
          </w:tcPr>
          <w:p>
            <w:pPr>
              <w:pStyle w:val="Compact"/>
              <w:spacing w:after="20" w:before="20"/>
              <w:jc w:val="left"/>
            </w:pPr>
            <w:r>
              <w:rPr>
                <w:sz w:val="18"/>
              </w:rPr>
              <w:t xml:space="preserve">§9.1</w:t>
            </w:r>
          </w:p>
        </w:tc>
        <w:tc>
          <w:tcPr>
            <w:tcW w:w="1736" w:type="dxa"/>
            <w:shd w:val="clear" w:color="auto" w:fill="EEF2F6"/>
          </w:tcPr>
          <w:p>
            <w:pPr>
              <w:pStyle w:val="Compact"/>
              <w:spacing w:after="20" w:before="20"/>
              <w:jc w:val="left"/>
            </w:pPr>
            <w:r>
              <w:rPr>
                <w:sz w:val="18"/>
              </w:rPr>
              <w:t xml:space="preserve">RPCA</w:t>
            </w:r>
          </w:p>
        </w:tc>
        <w:tc>
          <w:tcPr>
            <w:tcW w:w="636" w:type="dxa"/>
            <w:shd w:val="clear" w:color="auto" w:fill="EEF2F6"/>
          </w:tcPr>
          <w:p>
            <w:pPr>
              <w:pStyle w:val="Compact"/>
              <w:spacing w:after="20" w:before="20"/>
              <w:jc w:val="left"/>
            </w:pPr>
            <w:r>
              <w:rPr>
                <w:sz w:val="18"/>
              </w:rPr>
              <w:t xml:space="preserve">☐</w:t>
            </w:r>
          </w:p>
        </w:tc>
      </w:tr>
      <w:tr>
        <w:trPr>
          <w:cantSplit w:val="true"/>
        </w:trPr>
        <w:tc>
          <w:tcPr>
            <w:tcW w:w="438" w:type="dxa"/>
          </w:tcPr>
          <w:p>
            <w:pPr>
              <w:pStyle w:val="Compact"/>
              <w:spacing w:after="20" w:before="20"/>
              <w:jc w:val="left"/>
            </w:pPr>
            <w:r>
              <w:rPr>
                <w:sz w:val="18"/>
              </w:rPr>
              <w:t xml:space="preserve">13</w:t>
            </w:r>
          </w:p>
        </w:tc>
        <w:tc>
          <w:tcPr>
            <w:tcW w:w="5619" w:type="dxa"/>
          </w:tcPr>
          <w:p>
            <w:pPr>
              <w:pStyle w:val="Compact"/>
              <w:spacing w:after="20" w:before="20"/>
              <w:jc w:val="left"/>
            </w:pPr>
            <w:r>
              <w:rPr>
                <w:sz w:val="18"/>
              </w:rPr>
              <w:t xml:space="preserve">Textes réglementaires imposant un test annuel</w:t>
            </w:r>
          </w:p>
        </w:tc>
        <w:tc>
          <w:tcPr>
            <w:tcW w:w="982" w:type="dxa"/>
          </w:tcPr>
          <w:p>
            <w:pPr>
              <w:pStyle w:val="Compact"/>
              <w:spacing w:after="20" w:before="20"/>
              <w:jc w:val="left"/>
            </w:pPr>
            <w:r>
              <w:rPr>
                <w:sz w:val="18"/>
              </w:rPr>
              <w:t xml:space="preserve">§9.2.2</w:t>
            </w:r>
          </w:p>
        </w:tc>
        <w:tc>
          <w:tcPr>
            <w:tcW w:w="1736" w:type="dxa"/>
          </w:tcPr>
          <w:p>
            <w:pPr>
              <w:pStyle w:val="Compact"/>
              <w:spacing w:after="20" w:before="20"/>
              <w:jc w:val="left"/>
            </w:pPr>
            <w:r>
              <w:rPr>
                <w:sz w:val="18"/>
              </w:rPr>
              <w:t xml:space="preserve">Conformité</w:t>
            </w:r>
          </w:p>
        </w:tc>
        <w:tc>
          <w:tcPr>
            <w:tcW w:w="636" w:type="dxa"/>
          </w:tcPr>
          <w:p>
            <w:pPr>
              <w:pStyle w:val="Compact"/>
              <w:spacing w:after="20" w:before="20"/>
              <w:jc w:val="left"/>
            </w:pPr>
            <w:r>
              <w:rPr>
                <w:sz w:val="18"/>
              </w:rPr>
              <w:t xml:space="preserve">☐</w:t>
            </w:r>
          </w:p>
        </w:tc>
      </w:tr>
      <w:tr>
        <w:trPr>
          <w:cantSplit w:val="true"/>
        </w:trPr>
        <w:tc>
          <w:tcPr>
            <w:tcW w:w="438" w:type="dxa"/>
            <w:shd w:val="clear" w:color="auto" w:fill="EEF2F6"/>
          </w:tcPr>
          <w:p>
            <w:pPr>
              <w:pStyle w:val="Compact"/>
              <w:spacing w:after="20" w:before="20"/>
              <w:jc w:val="left"/>
            </w:pPr>
            <w:r>
              <w:rPr>
                <w:sz w:val="18"/>
              </w:rPr>
              <w:t xml:space="preserve">14</w:t>
            </w:r>
          </w:p>
        </w:tc>
        <w:tc>
          <w:tcPr>
            <w:tcW w:w="5619" w:type="dxa"/>
            <w:shd w:val="clear" w:color="auto" w:fill="EEF2F6"/>
          </w:tcPr>
          <w:p>
            <w:pPr>
              <w:pStyle w:val="Compact"/>
              <w:spacing w:after="20" w:before="20"/>
              <w:jc w:val="left"/>
            </w:pPr>
            <w:r>
              <w:rPr>
                <w:sz w:val="18"/>
              </w:rPr>
              <w:t xml:space="preserve">Plan de sauvegarde détaillé (tableaux 1 et 2, schémas 1 et 2)</w:t>
            </w:r>
          </w:p>
        </w:tc>
        <w:tc>
          <w:tcPr>
            <w:tcW w:w="982" w:type="dxa"/>
            <w:shd w:val="clear" w:color="auto" w:fill="EEF2F6"/>
          </w:tcPr>
          <w:p>
            <w:pPr>
              <w:pStyle w:val="Compact"/>
              <w:spacing w:after="20" w:before="20"/>
              <w:jc w:val="left"/>
            </w:pPr>
            <w:r>
              <w:rPr>
                <w:sz w:val="18"/>
              </w:rPr>
              <w:t xml:space="preserve">§9.3</w:t>
            </w:r>
          </w:p>
        </w:tc>
        <w:tc>
          <w:tcPr>
            <w:tcW w:w="1736" w:type="dxa"/>
            <w:shd w:val="clear" w:color="auto" w:fill="EEF2F6"/>
          </w:tcPr>
          <w:p>
            <w:pPr>
              <w:pStyle w:val="Compact"/>
              <w:spacing w:after="20" w:before="20"/>
              <w:jc w:val="left"/>
            </w:pPr>
            <w:r>
              <w:rPr>
                <w:sz w:val="18"/>
              </w:rPr>
              <w:t xml:space="preserve">AdSv</w:t>
            </w:r>
          </w:p>
        </w:tc>
        <w:tc>
          <w:tcPr>
            <w:tcW w:w="636" w:type="dxa"/>
            <w:shd w:val="clear" w:color="auto" w:fill="EEF2F6"/>
          </w:tcPr>
          <w:p>
            <w:pPr>
              <w:pStyle w:val="Compact"/>
              <w:spacing w:after="20" w:before="20"/>
              <w:jc w:val="left"/>
            </w:pPr>
            <w:r>
              <w:rPr>
                <w:sz w:val="18"/>
              </w:rPr>
              <w:t xml:space="preserve">☐</w:t>
            </w:r>
          </w:p>
        </w:tc>
      </w:tr>
      <w:tr>
        <w:trPr>
          <w:cantSplit w:val="true"/>
        </w:trPr>
        <w:tc>
          <w:tcPr>
            <w:tcW w:w="438" w:type="dxa"/>
          </w:tcPr>
          <w:p>
            <w:pPr>
              <w:pStyle w:val="Compact"/>
              <w:spacing w:after="20" w:before="20"/>
              <w:jc w:val="left"/>
            </w:pPr>
            <w:r>
              <w:rPr>
                <w:sz w:val="18"/>
              </w:rPr>
              <w:t xml:space="preserve">15</w:t>
            </w:r>
          </w:p>
        </w:tc>
        <w:tc>
          <w:tcPr>
            <w:tcW w:w="5619" w:type="dxa"/>
          </w:tcPr>
          <w:p>
            <w:pPr>
              <w:pStyle w:val="Compact"/>
              <w:spacing w:after="20" w:before="20"/>
              <w:jc w:val="left"/>
            </w:pPr>
            <w:r>
              <w:rPr>
                <w:sz w:val="18"/>
              </w:rPr>
              <w:t xml:space="preserve">Seuils des indicateurs après période de mesure</w:t>
            </w:r>
          </w:p>
        </w:tc>
        <w:tc>
          <w:tcPr>
            <w:tcW w:w="982" w:type="dxa"/>
          </w:tcPr>
          <w:p>
            <w:pPr>
              <w:pStyle w:val="Compact"/>
              <w:spacing w:after="20" w:before="20"/>
              <w:jc w:val="left"/>
            </w:pPr>
            <w:r>
              <w:rPr>
                <w:sz w:val="18"/>
              </w:rPr>
              <w:t xml:space="preserve">§11.2</w:t>
            </w:r>
          </w:p>
        </w:tc>
        <w:tc>
          <w:tcPr>
            <w:tcW w:w="1736" w:type="dxa"/>
          </w:tcPr>
          <w:p>
            <w:pPr>
              <w:pStyle w:val="Compact"/>
              <w:spacing w:after="20" w:before="20"/>
              <w:jc w:val="left"/>
            </w:pPr>
            <w:r>
              <w:rPr>
                <w:sz w:val="18"/>
              </w:rPr>
              <w:t xml:space="preserve">RPCI</w:t>
            </w:r>
          </w:p>
        </w:tc>
        <w:tc>
          <w:tcPr>
            <w:tcW w:w="636" w:type="dxa"/>
          </w:tcPr>
          <w:p>
            <w:pPr>
              <w:pStyle w:val="Compact"/>
              <w:spacing w:after="20" w:before="20"/>
              <w:jc w:val="left"/>
            </w:pPr>
            <w:r>
              <w:rPr>
                <w:sz w:val="18"/>
              </w:rPr>
              <w:t xml:space="preserve">☐</w:t>
            </w:r>
          </w:p>
        </w:tc>
      </w:tr>
      <w:tr>
        <w:trPr>
          <w:cantSplit w:val="true"/>
        </w:trPr>
        <w:tc>
          <w:tcPr>
            <w:tcW w:w="438" w:type="dxa"/>
            <w:shd w:val="clear" w:color="auto" w:fill="EEF2F6"/>
          </w:tcPr>
          <w:p>
            <w:pPr>
              <w:pStyle w:val="Compact"/>
              <w:spacing w:after="20" w:before="20"/>
              <w:jc w:val="left"/>
            </w:pPr>
            <w:r>
              <w:rPr>
                <w:sz w:val="18"/>
              </w:rPr>
              <w:t xml:space="preserve">16</w:t>
            </w:r>
          </w:p>
        </w:tc>
        <w:tc>
          <w:tcPr>
            <w:tcW w:w="5619" w:type="dxa"/>
            <w:shd w:val="clear" w:color="auto" w:fill="EEF2F6"/>
          </w:tcPr>
          <w:p>
            <w:pPr>
              <w:pStyle w:val="Compact"/>
              <w:spacing w:after="20" w:before="20"/>
              <w:jc w:val="left"/>
            </w:pPr>
            <w:r>
              <w:rPr>
                <w:sz w:val="18"/>
              </w:rPr>
              <w:t xml:space="preserve">Affectation nominative des rôles, dont les propriétaires métier</w:t>
            </w:r>
          </w:p>
        </w:tc>
        <w:tc>
          <w:tcPr>
            <w:tcW w:w="982" w:type="dxa"/>
            <w:shd w:val="clear" w:color="auto" w:fill="EEF2F6"/>
          </w:tcPr>
          <w:p>
            <w:pPr>
              <w:pStyle w:val="Compact"/>
              <w:spacing w:after="20" w:before="20"/>
              <w:jc w:val="left"/>
            </w:pPr>
            <w:r>
              <w:rPr>
                <w:sz w:val="18"/>
              </w:rPr>
              <w:t xml:space="preserve">Annexe B</w:t>
            </w:r>
          </w:p>
        </w:tc>
        <w:tc>
          <w:tcPr>
            <w:tcW w:w="1736" w:type="dxa"/>
            <w:shd w:val="clear" w:color="auto" w:fill="EEF2F6"/>
          </w:tcPr>
          <w:p>
            <w:pPr>
              <w:pStyle w:val="Compact"/>
              <w:spacing w:after="20" w:before="20"/>
              <w:jc w:val="left"/>
            </w:pPr>
            <w:r>
              <w:rPr>
                <w:sz w:val="18"/>
              </w:rPr>
              <w:t xml:space="preserve">DSI</w:t>
            </w:r>
          </w:p>
        </w:tc>
        <w:tc>
          <w:tcPr>
            <w:tcW w:w="636" w:type="dxa"/>
            <w:shd w:val="clear" w:color="auto" w:fill="EEF2F6"/>
          </w:tcPr>
          <w:p>
            <w:pPr>
              <w:pStyle w:val="Compact"/>
              <w:spacing w:after="20" w:before="20"/>
              <w:jc w:val="left"/>
            </w:pPr>
            <w:r>
              <w:rPr>
                <w:sz w:val="18"/>
              </w:rPr>
              <w:t xml:space="preserve">☐</w:t>
            </w:r>
          </w:p>
        </w:tc>
      </w:tr>
      <w:tr>
        <w:trPr>
          <w:cantSplit w:val="true"/>
        </w:trPr>
        <w:tc>
          <w:tcPr>
            <w:tcW w:w="438" w:type="dxa"/>
          </w:tcPr>
          <w:p>
            <w:pPr>
              <w:pStyle w:val="Compact"/>
              <w:spacing w:after="20" w:before="20"/>
              <w:jc w:val="left"/>
            </w:pPr>
            <w:r>
              <w:rPr>
                <w:sz w:val="18"/>
              </w:rPr>
              <w:t xml:space="preserve">17</w:t>
            </w:r>
          </w:p>
        </w:tc>
        <w:tc>
          <w:tcPr>
            <w:tcW w:w="5619" w:type="dxa"/>
          </w:tcPr>
          <w:p>
            <w:pPr>
              <w:pStyle w:val="Compact"/>
              <w:spacing w:after="20" w:before="20"/>
              <w:jc w:val="left"/>
            </w:pPr>
            <w:r>
              <w:rPr>
                <w:sz w:val="18"/>
              </w:rPr>
              <w:t xml:space="preserve">Analyse d'impact de référence et classes de criticité</w:t>
            </w:r>
          </w:p>
        </w:tc>
        <w:tc>
          <w:tcPr>
            <w:tcW w:w="982" w:type="dxa"/>
          </w:tcPr>
          <w:p>
            <w:pPr>
              <w:pStyle w:val="Compact"/>
              <w:spacing w:after="20" w:before="20"/>
              <w:jc w:val="left"/>
            </w:pPr>
            <w:r>
              <w:rPr>
                <w:sz w:val="18"/>
              </w:rPr>
              <w:t xml:space="preserve">§5.2, §9.1</w:t>
            </w:r>
          </w:p>
        </w:tc>
        <w:tc>
          <w:tcPr>
            <w:tcW w:w="1736" w:type="dxa"/>
          </w:tcPr>
          <w:p>
            <w:pPr>
              <w:pStyle w:val="Compact"/>
              <w:spacing w:after="20" w:before="20"/>
              <w:jc w:val="left"/>
            </w:pPr>
            <w:r>
              <w:rPr>
                <w:sz w:val="18"/>
              </w:rPr>
              <w:t xml:space="preserve">RPCA</w:t>
            </w:r>
          </w:p>
        </w:tc>
        <w:tc>
          <w:tcPr>
            <w:tcW w:w="636" w:type="dxa"/>
          </w:tcPr>
          <w:p>
            <w:pPr>
              <w:pStyle w:val="Compact"/>
              <w:spacing w:after="20" w:before="20"/>
              <w:jc w:val="left"/>
            </w:pPr>
            <w:r>
              <w:rPr>
                <w:sz w:val="18"/>
              </w:rPr>
              <w:t xml:space="preserve">☐</w:t>
            </w:r>
          </w:p>
        </w:tc>
      </w:tr>
      <w:tr>
        <w:trPr>
          <w:cantSplit w:val="true"/>
        </w:trPr>
        <w:tc>
          <w:tcPr>
            <w:tcW w:w="438" w:type="dxa"/>
            <w:shd w:val="clear" w:color="auto" w:fill="EEF2F6"/>
          </w:tcPr>
          <w:p>
            <w:pPr>
              <w:pStyle w:val="Compact"/>
              <w:spacing w:after="20" w:before="20"/>
              <w:jc w:val="left"/>
            </w:pPr>
            <w:r>
              <w:rPr>
                <w:sz w:val="18"/>
              </w:rPr>
              <w:t xml:space="preserve">18</w:t>
            </w:r>
          </w:p>
        </w:tc>
        <w:tc>
          <w:tcPr>
            <w:tcW w:w="5619" w:type="dxa"/>
            <w:shd w:val="clear" w:color="auto" w:fill="EEF2F6"/>
          </w:tcPr>
          <w:p>
            <w:pPr>
              <w:pStyle w:val="Compact"/>
              <w:spacing w:after="20" w:before="20"/>
              <w:jc w:val="left"/>
            </w:pPr>
            <w:r>
              <w:rPr>
                <w:sz w:val="18"/>
              </w:rPr>
              <w:t xml:space="preserve">Validation formelle de l'exclusion du sinistre total</w:t>
            </w:r>
          </w:p>
        </w:tc>
        <w:tc>
          <w:tcPr>
            <w:tcW w:w="982" w:type="dxa"/>
            <w:shd w:val="clear" w:color="auto" w:fill="EEF2F6"/>
          </w:tcPr>
          <w:p>
            <w:pPr>
              <w:pStyle w:val="Compact"/>
              <w:spacing w:after="20" w:before="20"/>
              <w:jc w:val="left"/>
            </w:pPr>
            <w:r>
              <w:rPr>
                <w:sz w:val="18"/>
              </w:rPr>
              <w:t xml:space="preserve">§6.3.1</w:t>
            </w:r>
          </w:p>
        </w:tc>
        <w:tc>
          <w:tcPr>
            <w:tcW w:w="1736" w:type="dxa"/>
            <w:shd w:val="clear" w:color="auto" w:fill="EEF2F6"/>
          </w:tcPr>
          <w:p>
            <w:pPr>
              <w:pStyle w:val="Compact"/>
              <w:spacing w:after="20" w:before="20"/>
              <w:jc w:val="left"/>
            </w:pPr>
            <w:r>
              <w:rPr>
                <w:sz w:val="18"/>
              </w:rPr>
              <w:t xml:space="preserve">Direction générale</w:t>
            </w:r>
          </w:p>
        </w:tc>
        <w:tc>
          <w:tcPr>
            <w:tcW w:w="636" w:type="dxa"/>
            <w:shd w:val="clear" w:color="auto" w:fill="EEF2F6"/>
          </w:tcPr>
          <w:p>
            <w:pPr>
              <w:pStyle w:val="Compact"/>
              <w:spacing w:after="20" w:before="20"/>
              <w:jc w:val="left"/>
            </w:pPr>
            <w:r>
              <w:rPr>
                <w:sz w:val="18"/>
              </w:rPr>
              <w:t xml:space="preserve">☐</w:t>
            </w:r>
          </w:p>
        </w:tc>
      </w:tr>
      <w:tr>
        <w:trPr>
          <w:cantSplit w:val="true"/>
        </w:trPr>
        <w:tc>
          <w:tcPr>
            <w:tcW w:w="438" w:type="dxa"/>
          </w:tcPr>
          <w:p>
            <w:pPr>
              <w:pStyle w:val="Compact"/>
              <w:spacing w:after="20" w:before="20"/>
              <w:jc w:val="left"/>
            </w:pPr>
            <w:r>
              <w:rPr>
                <w:sz w:val="18"/>
              </w:rPr>
              <w:t xml:space="preserve">19</w:t>
            </w:r>
          </w:p>
        </w:tc>
        <w:tc>
          <w:tcPr>
            <w:tcW w:w="5619" w:type="dxa"/>
          </w:tcPr>
          <w:p>
            <w:pPr>
              <w:pStyle w:val="Compact"/>
              <w:spacing w:after="20" w:before="20"/>
              <w:jc w:val="left"/>
            </w:pPr>
            <w:r>
              <w:rPr>
                <w:sz w:val="18"/>
              </w:rPr>
              <w:t xml:space="preserve">Raccordement à la cellule de crise et à la réponse à incident</w:t>
            </w:r>
          </w:p>
        </w:tc>
        <w:tc>
          <w:tcPr>
            <w:tcW w:w="982" w:type="dxa"/>
          </w:tcPr>
          <w:p>
            <w:pPr>
              <w:pStyle w:val="Compact"/>
              <w:spacing w:after="20" w:before="20"/>
              <w:jc w:val="left"/>
            </w:pPr>
            <w:r>
              <w:rPr>
                <w:sz w:val="18"/>
              </w:rPr>
              <w:t xml:space="preserve">§8.4</w:t>
            </w:r>
          </w:p>
        </w:tc>
        <w:tc>
          <w:tcPr>
            <w:tcW w:w="1736" w:type="dxa"/>
          </w:tcPr>
          <w:p>
            <w:pPr>
              <w:pStyle w:val="Compact"/>
              <w:spacing w:after="20" w:before="20"/>
              <w:jc w:val="left"/>
            </w:pPr>
            <w:r>
              <w:rPr>
                <w:sz w:val="18"/>
              </w:rPr>
              <w:t xml:space="preserve">RPCA / RSSI</w:t>
            </w:r>
          </w:p>
        </w:tc>
        <w:tc>
          <w:tcPr>
            <w:tcW w:w="636" w:type="dxa"/>
          </w:tcPr>
          <w:p>
            <w:pPr>
              <w:pStyle w:val="Compact"/>
              <w:spacing w:after="20" w:before="20"/>
              <w:jc w:val="left"/>
            </w:pPr>
            <w:r>
              <w:rPr>
                <w:sz w:val="18"/>
              </w:rPr>
              <w:t xml:space="preserve">☐</w:t>
            </w:r>
          </w:p>
        </w:tc>
      </w:tr>
      <w:tr>
        <w:trPr>
          <w:cantSplit w:val="true"/>
        </w:trPr>
        <w:tc>
          <w:tcPr>
            <w:tcW w:w="438" w:type="dxa"/>
            <w:shd w:val="clear" w:color="auto" w:fill="EEF2F6"/>
          </w:tcPr>
          <w:p>
            <w:pPr>
              <w:pStyle w:val="Compact"/>
              <w:spacing w:after="20" w:before="20"/>
              <w:jc w:val="left"/>
            </w:pPr>
            <w:r>
              <w:rPr>
                <w:sz w:val="18"/>
              </w:rPr>
              <w:t xml:space="preserve">20</w:t>
            </w:r>
          </w:p>
        </w:tc>
        <w:tc>
          <w:tcPr>
            <w:tcW w:w="5619" w:type="dxa"/>
            <w:shd w:val="clear" w:color="auto" w:fill="EEF2F6"/>
          </w:tcPr>
          <w:p>
            <w:pPr>
              <w:pStyle w:val="Compact"/>
              <w:spacing w:after="20" w:before="20"/>
              <w:jc w:val="left"/>
            </w:pPr>
            <w:r>
              <w:rPr>
                <w:sz w:val="18"/>
              </w:rPr>
              <w:t xml:space="preserve">Copies hors SI de la documentation critique</w:t>
            </w:r>
          </w:p>
        </w:tc>
        <w:tc>
          <w:tcPr>
            <w:tcW w:w="982" w:type="dxa"/>
            <w:shd w:val="clear" w:color="auto" w:fill="EEF2F6"/>
          </w:tcPr>
          <w:p>
            <w:pPr>
              <w:pStyle w:val="Compact"/>
              <w:spacing w:after="20" w:before="20"/>
              <w:jc w:val="left"/>
            </w:pPr>
            <w:r>
              <w:rPr>
                <w:sz w:val="18"/>
              </w:rPr>
              <w:t xml:space="preserve">§7.6</w:t>
            </w:r>
          </w:p>
        </w:tc>
        <w:tc>
          <w:tcPr>
            <w:tcW w:w="1736" w:type="dxa"/>
            <w:shd w:val="clear" w:color="auto" w:fill="EEF2F6"/>
          </w:tcPr>
          <w:p>
            <w:pPr>
              <w:pStyle w:val="Compact"/>
              <w:spacing w:after="20" w:before="20"/>
              <w:jc w:val="left"/>
            </w:pPr>
            <w:r>
              <w:rPr>
                <w:sz w:val="18"/>
              </w:rPr>
              <w:t xml:space="preserve">RPCI</w:t>
            </w:r>
          </w:p>
        </w:tc>
        <w:tc>
          <w:tcPr>
            <w:tcW w:w="636" w:type="dxa"/>
            <w:shd w:val="clear" w:color="auto" w:fill="EEF2F6"/>
          </w:tcPr>
          <w:p>
            <w:pPr>
              <w:pStyle w:val="Compact"/>
              <w:spacing w:after="20" w:before="20"/>
              <w:jc w:val="left"/>
            </w:pPr>
            <w:r>
              <w:rPr>
                <w:sz w:val="18"/>
              </w:rPr>
              <w:t xml:space="preserve">☐</w:t>
            </w:r>
          </w:p>
        </w:tc>
      </w:tr>
    </w:tbl>
    <w:p>
      <w:pPr>
        <w:pStyle w:val="BodyText"/>
      </w:pPr>
      <w:r>
        <w:rPr>
          <w:iCs/>
          <w:i/>
        </w:rPr>
        <w:t xml:space="preserve">Fin du document.</w:t>
      </w:r>
    </w:p>
    <w:p>
      <w:pPr>
        <w:pStyle w:val="BodyText"/>
      </w:pPr>
      <w:r>
        <w:rPr>
          <w:iCs/>
          <w:i/>
        </w:rPr>
        <w:t xml:space="preserve">Modèle Plan R — plan-r.org — licence Creative Commons Attribution - Pas d'utilisation commerciale - Partage dans les mêmes conditions 4.0 International (CC BY-NC-SA 4.0), https://creativecommons.org/licenses/by-nc-sa/4.0/deed.fr. Vous pouvez le copier, l'adapter et le diffuser, à condition de citer la source, sans usage commercial, et de diffuser vos adaptations sous la même licence.</w:t>
      </w:r>
    </w:p>
    <w:bookmarkEnd w:id="126"/>
    <w:bookmarkEnd w:id="127"/>
    <w:sectPr>
      <w:headerReference r:id="rId9" w:type="default"/>
      <w:footerReference r:id="rId10" w:type="default"/>
      <w:pgSz w:h="16838" w:w="11906"/>
      <w:pgMar w:bottom="1134" w:left="1247" w:right="1247"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3D4A5C"/>
        <w:sz w:val="16"/>
      </w:rPr>
      <w:t xml:space="preserve">plan-r.org — CC BY-NC-SA 4.0 — page </w:t>
    </w:r>
    <w:r>
      <w:rPr>
        <w:color w:val="3D4A5C"/>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rFonts w:ascii="Calibri" w:hAnsi="Calibri"/>
        <w:color w:val="3D4A5C"/>
        <w:sz w:val="16"/>
      </w:rPr>
      <w:t>Plan R — Modèle de stratégie de sauvegarde, restauration et reconstruction</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1"/>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1"/>
  </w:num>
  <w:num w:numId="105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FR"/>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cs="Calibri" w:eastAsia="Calibri" w:hAnsi="Calibri"/>
      <w:color w:val="222222"/>
      <w:sz w:val="21"/>
    </w:rPr>
  </w:style>
  <w:style w:styleId="BodyText" w:type="paragraph">
    <w:name w:val="Body Text"/>
    <w:basedOn w:val="Normal"/>
    <w:link w:val="BodyTextChar"/>
    <w:pPr>
      <w:spacing w:after="100" w:before="180" w:line="269" w:lineRule="auto"/>
    </w:pPr>
    <w:qFormat/>
    <w:rPr>
      <w:rFonts w:ascii="Calibri" w:cs="Calibri" w:eastAsia="Calibri" w:hAnsi="Calibri"/>
      <w:color w:val="222222"/>
      <w:sz w:val="21"/>
    </w:rPr>
  </w:style>
  <w:style w:customStyle="1" w:styleId="FirstParagraph" w:type="paragraph">
    <w:name w:val="First Paragraph"/>
    <w:basedOn w:val="BodyText"/>
    <w:next w:val="BodyText"/>
    <w:qFormat/>
    <w:pPr>
      <w:spacing w:after="100" w:line="269" w:lineRule="auto"/>
    </w:pPr>
    <w:rPr>
      <w:rFonts w:ascii="Calibri" w:cs="Calibri" w:eastAsia="Calibri" w:hAnsi="Calibri"/>
      <w:color w:val="222222"/>
      <w:sz w:val="21"/>
    </w:rPr>
  </w:style>
  <w:style w:customStyle="1" w:styleId="Compact" w:type="paragraph">
    <w:name w:val="Compact"/>
    <w:basedOn w:val="BodyText"/>
    <w:qFormat/>
    <w:pPr>
      <w:spacing w:after="100" w:before="36" w:line="269" w:lineRule="auto"/>
    </w:pPr>
    <w:rPr>
      <w:rFonts w:ascii="Calibri" w:cs="Calibri" w:eastAsia="Calibri" w:hAnsi="Calibri"/>
      <w:color w:val="222222"/>
      <w:sz w:val="21"/>
    </w:rPr>
  </w:style>
  <w:style w:styleId="Title" w:type="paragraph">
    <w:name w:val="Title"/>
    <w:basedOn w:val="Normal"/>
    <w:next w:val="BodyText"/>
    <w:qFormat/>
    <w:pPr>
      <w:keepNext/>
      <w:keepLines/>
      <w:spacing w:after="240" w:before="480"/>
      <w:jc w:val="center"/>
    </w:pPr>
    <w:rPr>
      <w:rFonts w:ascii="Calibri" w:cs="Calibri" w:eastAsia="Calibri" w:hAnsi="Calibri"/>
      <w:b/>
      <w:bCs/>
      <w:color w:val="1F3A5F"/>
      <w:sz w:val="48"/>
      <w:szCs w:val="36"/>
    </w:rPr>
  </w:style>
  <w:style w:styleId="Subtitle" w:type="paragraph">
    <w:name w:val="Subtitle"/>
    <w:basedOn w:val="Title"/>
    <w:next w:val="BodyText"/>
    <w:qFormat/>
    <w:pPr>
      <w:keepNext/>
      <w:keepLines/>
      <w:spacing w:after="240" w:before="240"/>
      <w:jc w:val="center"/>
    </w:pPr>
    <w:rPr>
      <w:rFonts w:ascii="Calibri" w:cs="Calibri" w:eastAsia="Calibri" w:hAnsi="Calibri"/>
      <w:i w:val="0"/>
      <w:color w:val="17696B"/>
      <w:sz w:val="28"/>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pageBreakBefore/>
      <w:spacing w:after="120" w:before="280"/>
      <w:outlineLvl w:val="0"/>
    </w:pPr>
    <w:rPr>
      <w:rFonts w:ascii="Calibri" w:cs="Calibri" w:eastAsia="Calibri" w:hAnsi="Calibri"/>
      <w:b/>
      <w:bCs/>
      <w:i w:val="0"/>
      <w:color w:val="1F3A5F"/>
      <w:sz w:val="34"/>
      <w:szCs w:val="32"/>
    </w:rPr>
  </w:style>
  <w:style w:styleId="Heading2" w:type="paragraph">
    <w:name w:val="Heading 2"/>
    <w:basedOn w:val="Normal"/>
    <w:next w:val="BodyText"/>
    <w:uiPriority w:val="9"/>
    <w:unhideWhenUsed/>
    <w:qFormat/>
    <w:pPr>
      <w:keepNext/>
      <w:keepLines/>
      <w:spacing w:after="120" w:before="280"/>
      <w:outlineLvl w:val="1"/>
    </w:pPr>
    <w:rPr>
      <w:rFonts w:ascii="Calibri" w:cs="Calibri" w:eastAsia="Calibri" w:hAnsi="Calibri"/>
      <w:b/>
      <w:bCs/>
      <w:i w:val="0"/>
      <w:color w:val="17696B"/>
      <w:sz w:val="27"/>
      <w:szCs w:val="28"/>
    </w:rPr>
  </w:style>
  <w:style w:styleId="Heading3" w:type="paragraph">
    <w:name w:val="Heading 3"/>
    <w:basedOn w:val="Normal"/>
    <w:next w:val="BodyText"/>
    <w:uiPriority w:val="9"/>
    <w:unhideWhenUsed/>
    <w:qFormat/>
    <w:pPr>
      <w:keepNext/>
      <w:keepLines/>
      <w:spacing w:after="120" w:before="200"/>
      <w:outlineLvl w:val="2"/>
    </w:pPr>
    <w:rPr>
      <w:rFonts w:ascii="Calibri" w:cs="Calibri" w:eastAsia="Calibri" w:hAnsi="Calibri"/>
      <w:b/>
      <w:bCs/>
      <w:i w:val="0"/>
      <w:color w:val="3D4A5C"/>
      <w:sz w:val="23"/>
      <w:szCs w:val="24"/>
    </w:rPr>
  </w:style>
  <w:style w:styleId="Heading4" w:type="paragraph">
    <w:name w:val="Heading 4"/>
    <w:basedOn w:val="Normal"/>
    <w:next w:val="BodyText"/>
    <w:uiPriority w:val="9"/>
    <w:unhideWhenUsed/>
    <w:qFormat/>
    <w:pPr>
      <w:keepNext/>
      <w:keepLines/>
      <w:spacing w:after="120" w:before="200"/>
      <w:outlineLvl w:val="3"/>
    </w:pPr>
    <w:rPr>
      <w:rFonts w:ascii="Calibri" w:cs="Calibri" w:eastAsia="Calibri" w:hAnsi="Calibri"/>
      <w:i w:val="0"/>
      <w:b/>
      <w:bCs/>
      <w:color w:val="3D4A5C"/>
      <w:sz w:val="21"/>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340" w:right="480"/>
      <w:pBdr>
        <w:left w:color="17696B" w:space="8" w:sz="18" w:val="single"/>
      </w:pBdr>
    </w:pPr>
    <w:rPr>
      <w:rFonts w:ascii="Calibri" w:cs="Calibri" w:eastAsia="Calibri" w:hAnsi="Calibri"/>
      <w:i w:val="0"/>
      <w:color w:val="1F3A5F"/>
      <w:sz w:val="21"/>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DejaVu Sans Mono" w:cs="DejaVu Sans Mono" w:eastAsia="DejaVu Sans Mono" w:hAnsi="DejaVu Sans Mono"/>
      <w:sz w:val="15"/>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Stratégie de sauvegarde, restauration et reconstruction — modèle</dc:title>
  <dc:creator>Plan R</dc:creator>
  <dc:language>fr-FR</dc:language>
  <cp:keywords>sauvegarde; restauration; continuité; PCA; PCI; DMIA; PDMA</cp:keywords>
  <dcterms:created xsi:type="dcterms:W3CDTF">2026-09-26T17:19:05Z</dcterms:created>
  <dcterms:modified xsi:type="dcterms:W3CDTF">2026-09-26T17:19:05Z</dcterms:modified>
  <cp:lastModifiedBy>Plan R</cp:lastModifiedBy>
  <dc:subject>Modèle de référence, licence CC BY-NC-SA 4.0</dc:subject>
  <dc:description/>
  <cp:categor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Modèle de référence — version marque blanche</vt:lpwstr>
  </property>
</Properties>
</file>